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3A1341" w14:textId="585830A4" w:rsidR="00377373" w:rsidRPr="002A4355" w:rsidRDefault="003C7B30" w:rsidP="002A4355">
      <w:pPr>
        <w:bidi/>
        <w:spacing w:line="360" w:lineRule="auto"/>
        <w:jc w:val="center"/>
        <w:rPr>
          <w:rFonts w:ascii="David" w:hAnsi="David" w:cs="David"/>
          <w:b/>
          <w:bCs/>
          <w:sz w:val="26"/>
          <w:szCs w:val="26"/>
          <w:rtl/>
        </w:rPr>
      </w:pPr>
      <w:r w:rsidRPr="002A4355">
        <w:rPr>
          <w:rFonts w:ascii="David" w:hAnsi="David" w:cs="David"/>
          <w:b/>
          <w:bCs/>
          <w:sz w:val="26"/>
          <w:szCs w:val="26"/>
          <w:rtl/>
        </w:rPr>
        <w:t>פרשת בלק:</w:t>
      </w:r>
      <w:r w:rsidR="002A4355">
        <w:rPr>
          <w:rFonts w:ascii="David" w:hAnsi="David" w:cs="David" w:hint="cs"/>
          <w:b/>
          <w:bCs/>
          <w:sz w:val="26"/>
          <w:szCs w:val="26"/>
          <w:rtl/>
        </w:rPr>
        <w:t xml:space="preserve"> </w:t>
      </w:r>
      <w:r w:rsidR="00EB2586">
        <w:rPr>
          <w:rFonts w:ascii="David" w:hAnsi="David" w:cs="David" w:hint="cs"/>
          <w:b/>
          <w:bCs/>
          <w:sz w:val="26"/>
          <w:szCs w:val="26"/>
          <w:rtl/>
        </w:rPr>
        <w:t>ע</w:t>
      </w:r>
      <w:r w:rsidR="00BF01C0">
        <w:rPr>
          <w:rFonts w:ascii="David" w:hAnsi="David" w:cs="David" w:hint="cs"/>
          <w:b/>
          <w:bCs/>
          <w:sz w:val="26"/>
          <w:szCs w:val="26"/>
          <w:rtl/>
        </w:rPr>
        <w:t>(ו)</w:t>
      </w:r>
      <w:r w:rsidR="00EB2586">
        <w:rPr>
          <w:rFonts w:ascii="David" w:hAnsi="David" w:cs="David" w:hint="cs"/>
          <w:b/>
          <w:bCs/>
          <w:sz w:val="26"/>
          <w:szCs w:val="26"/>
          <w:rtl/>
        </w:rPr>
        <w:t>ל ה</w:t>
      </w:r>
      <w:r w:rsidR="002A4355">
        <w:rPr>
          <w:rFonts w:ascii="David" w:hAnsi="David" w:cs="David" w:hint="cs"/>
          <w:b/>
          <w:bCs/>
          <w:sz w:val="26"/>
          <w:szCs w:val="26"/>
          <w:rtl/>
        </w:rPr>
        <w:t>פרטיות</w:t>
      </w:r>
      <w:r w:rsidR="00BF01C0">
        <w:rPr>
          <w:rFonts w:ascii="David" w:hAnsi="David" w:cs="David" w:hint="cs"/>
          <w:b/>
          <w:bCs/>
          <w:sz w:val="26"/>
          <w:szCs w:val="26"/>
          <w:rtl/>
        </w:rPr>
        <w:t xml:space="preserve"> </w:t>
      </w:r>
      <w:r w:rsidR="00662EDF">
        <w:rPr>
          <w:rFonts w:ascii="David" w:hAnsi="David" w:cs="David" w:hint="cs"/>
          <w:b/>
          <w:bCs/>
          <w:sz w:val="26"/>
          <w:szCs w:val="26"/>
          <w:rtl/>
        </w:rPr>
        <w:t>ו</w:t>
      </w:r>
      <w:r w:rsidR="00BF01C0">
        <w:rPr>
          <w:rFonts w:ascii="David" w:hAnsi="David" w:cs="David" w:hint="cs"/>
          <w:b/>
          <w:bCs/>
          <w:sz w:val="26"/>
          <w:szCs w:val="26"/>
          <w:rtl/>
        </w:rPr>
        <w:t>ערך האדם כפרט</w:t>
      </w:r>
    </w:p>
    <w:p w14:paraId="4301535E" w14:textId="77777777" w:rsidR="00864145" w:rsidRDefault="00EB2586" w:rsidP="002A670C">
      <w:pPr>
        <w:bidi/>
        <w:spacing w:line="360" w:lineRule="auto"/>
        <w:jc w:val="both"/>
        <w:rPr>
          <w:rFonts w:ascii="David" w:hAnsi="David" w:cs="David"/>
          <w:sz w:val="24"/>
          <w:szCs w:val="24"/>
          <w:rtl/>
        </w:rPr>
      </w:pPr>
      <w:r>
        <w:rPr>
          <w:rFonts w:ascii="David" w:hAnsi="David" w:cs="David" w:hint="cs"/>
          <w:sz w:val="24"/>
          <w:szCs w:val="24"/>
          <w:rtl/>
        </w:rPr>
        <w:t xml:space="preserve">כמו חמש פרשות אחרות בחומש (נח, שרה, יתרו, קרח ופנחס), קרויה פרשתנו על שם אדם ספציפי. </w:t>
      </w:r>
      <w:r w:rsidR="009D72A7">
        <w:rPr>
          <w:rFonts w:ascii="David" w:hAnsi="David" w:cs="David" w:hint="cs"/>
          <w:sz w:val="24"/>
          <w:szCs w:val="24"/>
          <w:rtl/>
        </w:rPr>
        <w:t xml:space="preserve">מחצית </w:t>
      </w:r>
      <w:r w:rsidR="002563EA">
        <w:rPr>
          <w:rFonts w:ascii="David" w:hAnsi="David" w:cs="David" w:hint="cs"/>
          <w:sz w:val="24"/>
          <w:szCs w:val="24"/>
          <w:rtl/>
        </w:rPr>
        <w:t xml:space="preserve">מהדמויות הללו </w:t>
      </w:r>
      <w:r w:rsidR="009D72A7">
        <w:rPr>
          <w:rFonts w:ascii="David" w:hAnsi="David" w:cs="David" w:hint="cs"/>
          <w:sz w:val="24"/>
          <w:szCs w:val="24"/>
          <w:rtl/>
        </w:rPr>
        <w:t>אינ</w:t>
      </w:r>
      <w:r w:rsidR="002563EA">
        <w:rPr>
          <w:rFonts w:ascii="David" w:hAnsi="David" w:cs="David" w:hint="cs"/>
          <w:sz w:val="24"/>
          <w:szCs w:val="24"/>
          <w:rtl/>
        </w:rPr>
        <w:t>ן</w:t>
      </w:r>
      <w:r w:rsidR="009D72A7">
        <w:rPr>
          <w:rFonts w:ascii="David" w:hAnsi="David" w:cs="David" w:hint="cs"/>
          <w:sz w:val="24"/>
          <w:szCs w:val="24"/>
          <w:rtl/>
        </w:rPr>
        <w:t xml:space="preserve"> מעם יש</w:t>
      </w:r>
      <w:bookmarkStart w:id="0" w:name="_GoBack"/>
      <w:bookmarkEnd w:id="0"/>
      <w:r w:rsidR="009D72A7">
        <w:rPr>
          <w:rFonts w:ascii="David" w:hAnsi="David" w:cs="David" w:hint="cs"/>
          <w:sz w:val="24"/>
          <w:szCs w:val="24"/>
          <w:rtl/>
        </w:rPr>
        <w:t>ראל, ולגבי שניים מהם (קרח ובלק) כלל לא ברור מדוע זיכו אותם מ</w:t>
      </w:r>
      <w:r w:rsidR="00C4071E">
        <w:rPr>
          <w:rFonts w:ascii="David" w:hAnsi="David" w:cs="David" w:hint="cs"/>
          <w:sz w:val="24"/>
          <w:szCs w:val="24"/>
          <w:rtl/>
        </w:rPr>
        <w:t>עלליה</w:t>
      </w:r>
      <w:r w:rsidR="009D72A7">
        <w:rPr>
          <w:rFonts w:ascii="David" w:hAnsi="David" w:cs="David" w:hint="cs"/>
          <w:sz w:val="24"/>
          <w:szCs w:val="24"/>
          <w:rtl/>
        </w:rPr>
        <w:t>ם שת</w:t>
      </w:r>
      <w:r w:rsidR="002563EA">
        <w:rPr>
          <w:rFonts w:ascii="David" w:hAnsi="David" w:cs="David" w:hint="cs"/>
          <w:sz w:val="24"/>
          <w:szCs w:val="24"/>
          <w:rtl/>
        </w:rPr>
        <w:t>וכתר</w:t>
      </w:r>
      <w:r w:rsidR="009D72A7">
        <w:rPr>
          <w:rFonts w:ascii="David" w:hAnsi="David" w:cs="David" w:hint="cs"/>
          <w:sz w:val="24"/>
          <w:szCs w:val="24"/>
          <w:rtl/>
        </w:rPr>
        <w:t xml:space="preserve"> פרשה בתורה על שמם.</w:t>
      </w:r>
    </w:p>
    <w:p w14:paraId="24E8242D" w14:textId="77777777" w:rsidR="00C4071E" w:rsidRDefault="002563EA" w:rsidP="00864145">
      <w:pPr>
        <w:bidi/>
        <w:spacing w:line="360" w:lineRule="auto"/>
        <w:jc w:val="both"/>
        <w:rPr>
          <w:rFonts w:ascii="David" w:hAnsi="David" w:cs="David"/>
          <w:sz w:val="24"/>
          <w:szCs w:val="24"/>
          <w:rtl/>
        </w:rPr>
      </w:pPr>
      <w:r>
        <w:rPr>
          <w:rFonts w:ascii="David" w:hAnsi="David" w:cs="David" w:hint="cs"/>
          <w:sz w:val="24"/>
          <w:szCs w:val="24"/>
          <w:rtl/>
        </w:rPr>
        <w:t>בהקשר של פרשת בלק, מ</w:t>
      </w:r>
      <w:r w:rsidR="00864145">
        <w:rPr>
          <w:rFonts w:ascii="David" w:hAnsi="David" w:cs="David" w:hint="cs"/>
          <w:sz w:val="24"/>
          <w:szCs w:val="24"/>
          <w:rtl/>
        </w:rPr>
        <w:t>ת</w:t>
      </w:r>
      <w:r>
        <w:rPr>
          <w:rFonts w:ascii="David" w:hAnsi="David" w:cs="David" w:hint="cs"/>
          <w:sz w:val="24"/>
          <w:szCs w:val="24"/>
          <w:rtl/>
        </w:rPr>
        <w:t>עורר</w:t>
      </w:r>
      <w:r w:rsidR="00864145">
        <w:rPr>
          <w:rFonts w:ascii="David" w:hAnsi="David" w:cs="David" w:hint="cs"/>
          <w:sz w:val="24"/>
          <w:szCs w:val="24"/>
          <w:rtl/>
        </w:rPr>
        <w:t>ות שאלות רבות לגבי</w:t>
      </w:r>
      <w:r>
        <w:rPr>
          <w:rFonts w:ascii="David" w:hAnsi="David" w:cs="David" w:hint="cs"/>
          <w:sz w:val="24"/>
          <w:szCs w:val="24"/>
          <w:rtl/>
        </w:rPr>
        <w:t xml:space="preserve"> </w:t>
      </w:r>
      <w:r w:rsidR="009D72A7">
        <w:rPr>
          <w:rFonts w:ascii="David" w:hAnsi="David" w:cs="David" w:hint="cs"/>
          <w:sz w:val="24"/>
          <w:szCs w:val="24"/>
          <w:rtl/>
        </w:rPr>
        <w:t>גיוסו של בלעם למשימת הקללה כנגד עם ישראל, והברכות אותן הפיק בפועל</w:t>
      </w:r>
      <w:r w:rsidR="002A670C">
        <w:rPr>
          <w:rFonts w:ascii="David" w:hAnsi="David" w:cs="David" w:hint="cs"/>
          <w:sz w:val="24"/>
          <w:szCs w:val="24"/>
          <w:rtl/>
        </w:rPr>
        <w:t xml:space="preserve">. </w:t>
      </w:r>
      <w:r w:rsidR="00C4071E">
        <w:rPr>
          <w:rFonts w:ascii="David" w:hAnsi="David" w:cs="David" w:hint="cs"/>
          <w:sz w:val="24"/>
          <w:szCs w:val="24"/>
          <w:rtl/>
        </w:rPr>
        <w:t>אחת מהן היא</w:t>
      </w:r>
      <w:r w:rsidR="009D72A7">
        <w:rPr>
          <w:rFonts w:ascii="David" w:hAnsi="David" w:cs="David" w:hint="cs"/>
          <w:sz w:val="24"/>
          <w:szCs w:val="24"/>
          <w:rtl/>
        </w:rPr>
        <w:t xml:space="preserve"> טענ</w:t>
      </w:r>
      <w:r w:rsidR="002A670C">
        <w:rPr>
          <w:rFonts w:ascii="David" w:hAnsi="David" w:cs="David" w:hint="cs"/>
          <w:sz w:val="24"/>
          <w:szCs w:val="24"/>
          <w:rtl/>
        </w:rPr>
        <w:t>ת</w:t>
      </w:r>
      <w:r w:rsidR="00C4071E">
        <w:rPr>
          <w:rFonts w:ascii="David" w:hAnsi="David" w:cs="David" w:hint="cs"/>
          <w:sz w:val="24"/>
          <w:szCs w:val="24"/>
          <w:rtl/>
        </w:rPr>
        <w:t>ו ההגיוגרפית של</w:t>
      </w:r>
      <w:r w:rsidR="002A670C">
        <w:rPr>
          <w:rFonts w:ascii="David" w:hAnsi="David" w:cs="David" w:hint="cs"/>
          <w:sz w:val="24"/>
          <w:szCs w:val="24"/>
          <w:rtl/>
        </w:rPr>
        <w:t xml:space="preserve"> בלעם לפיה </w:t>
      </w:r>
      <w:r w:rsidR="009D72A7">
        <w:rPr>
          <w:rFonts w:ascii="David" w:hAnsi="David" w:cs="David" w:hint="cs"/>
          <w:sz w:val="24"/>
          <w:szCs w:val="24"/>
          <w:rtl/>
        </w:rPr>
        <w:t>ה' "</w:t>
      </w:r>
      <w:r w:rsidR="009D72A7" w:rsidRPr="009D72A7">
        <w:rPr>
          <w:rFonts w:ascii="David" w:hAnsi="David" w:cs="David"/>
          <w:sz w:val="24"/>
          <w:szCs w:val="24"/>
          <w:rtl/>
        </w:rPr>
        <w:t>לֹא</w:t>
      </w:r>
      <w:r w:rsidR="009D72A7">
        <w:rPr>
          <w:rFonts w:ascii="David" w:hAnsi="David" w:cs="David" w:hint="cs"/>
          <w:sz w:val="24"/>
          <w:szCs w:val="24"/>
          <w:rtl/>
        </w:rPr>
        <w:t xml:space="preserve"> </w:t>
      </w:r>
      <w:r w:rsidR="009D72A7" w:rsidRPr="009D72A7">
        <w:rPr>
          <w:rFonts w:ascii="David" w:hAnsi="David" w:cs="David"/>
          <w:sz w:val="24"/>
          <w:szCs w:val="24"/>
          <w:rtl/>
        </w:rPr>
        <w:t>הִבִּיט אָוֶן בְּיַעֲקֹב, וְלֹא</w:t>
      </w:r>
      <w:r w:rsidR="009D72A7">
        <w:rPr>
          <w:rFonts w:ascii="David" w:hAnsi="David" w:cs="David" w:hint="cs"/>
          <w:sz w:val="24"/>
          <w:szCs w:val="24"/>
          <w:rtl/>
        </w:rPr>
        <w:t xml:space="preserve"> </w:t>
      </w:r>
      <w:r w:rsidR="009D72A7" w:rsidRPr="009D72A7">
        <w:rPr>
          <w:rFonts w:ascii="David" w:hAnsi="David" w:cs="David"/>
          <w:sz w:val="24"/>
          <w:szCs w:val="24"/>
          <w:rtl/>
        </w:rPr>
        <w:t>רָאָה עָמָל בְּיִשְׂרָאֵל</w:t>
      </w:r>
      <w:r w:rsidR="009D72A7">
        <w:rPr>
          <w:rFonts w:ascii="David" w:hAnsi="David" w:cs="David" w:hint="cs"/>
          <w:sz w:val="24"/>
          <w:szCs w:val="24"/>
          <w:rtl/>
        </w:rPr>
        <w:t>"</w:t>
      </w:r>
      <w:r w:rsidR="00864145">
        <w:rPr>
          <w:rFonts w:ascii="David" w:hAnsi="David" w:cs="David" w:hint="cs"/>
          <w:sz w:val="24"/>
          <w:szCs w:val="24"/>
          <w:rtl/>
        </w:rPr>
        <w:t xml:space="preserve"> (במדבר כג 21)</w:t>
      </w:r>
      <w:r w:rsidR="00C4071E">
        <w:rPr>
          <w:rFonts w:ascii="David" w:hAnsi="David" w:cs="David" w:hint="cs"/>
          <w:sz w:val="24"/>
          <w:szCs w:val="24"/>
          <w:rtl/>
        </w:rPr>
        <w:t>.</w:t>
      </w:r>
      <w:r w:rsidR="00C4071E">
        <w:rPr>
          <w:rStyle w:val="FootnoteReference"/>
          <w:rFonts w:ascii="David" w:hAnsi="David" w:cs="David"/>
          <w:sz w:val="24"/>
          <w:szCs w:val="24"/>
          <w:rtl/>
        </w:rPr>
        <w:footnoteReference w:id="1"/>
      </w:r>
      <w:r w:rsidR="00C4071E">
        <w:rPr>
          <w:rFonts w:ascii="David" w:hAnsi="David" w:cs="David" w:hint="cs"/>
          <w:sz w:val="24"/>
          <w:szCs w:val="24"/>
          <w:rtl/>
        </w:rPr>
        <w:t xml:space="preserve"> </w:t>
      </w:r>
      <w:r w:rsidR="009D72A7">
        <w:rPr>
          <w:rFonts w:ascii="David" w:hAnsi="David" w:cs="David" w:hint="cs"/>
          <w:sz w:val="24"/>
          <w:szCs w:val="24"/>
          <w:rtl/>
        </w:rPr>
        <w:t xml:space="preserve">טענה </w:t>
      </w:r>
      <w:r w:rsidR="002A670C">
        <w:rPr>
          <w:rFonts w:ascii="David" w:hAnsi="David" w:cs="David" w:hint="cs"/>
          <w:sz w:val="24"/>
          <w:szCs w:val="24"/>
          <w:rtl/>
        </w:rPr>
        <w:t xml:space="preserve">זו </w:t>
      </w:r>
      <w:r w:rsidR="009D72A7">
        <w:rPr>
          <w:rFonts w:ascii="David" w:hAnsi="David" w:cs="David" w:hint="cs"/>
          <w:sz w:val="24"/>
          <w:szCs w:val="24"/>
          <w:rtl/>
        </w:rPr>
        <w:t>אינה עולה בקנה אחד עם סיפורי התורה</w:t>
      </w:r>
      <w:r w:rsidR="00864145">
        <w:rPr>
          <w:rFonts w:ascii="David" w:hAnsi="David" w:cs="David" w:hint="cs"/>
          <w:sz w:val="24"/>
          <w:szCs w:val="24"/>
          <w:rtl/>
        </w:rPr>
        <w:t xml:space="preserve">, </w:t>
      </w:r>
      <w:r w:rsidR="009D72A7">
        <w:rPr>
          <w:rFonts w:ascii="David" w:hAnsi="David" w:cs="David" w:hint="cs"/>
          <w:sz w:val="24"/>
          <w:szCs w:val="24"/>
          <w:rtl/>
        </w:rPr>
        <w:t xml:space="preserve">המגוללים </w:t>
      </w:r>
      <w:r w:rsidR="00DF6075">
        <w:rPr>
          <w:rFonts w:ascii="David" w:hAnsi="David" w:cs="David" w:hint="cs"/>
          <w:sz w:val="24"/>
          <w:szCs w:val="24"/>
          <w:rtl/>
        </w:rPr>
        <w:t xml:space="preserve">ומבקרים </w:t>
      </w:r>
      <w:r w:rsidR="009D72A7">
        <w:rPr>
          <w:rFonts w:ascii="David" w:hAnsi="David" w:cs="David" w:hint="cs"/>
          <w:sz w:val="24"/>
          <w:szCs w:val="24"/>
          <w:rtl/>
        </w:rPr>
        <w:t xml:space="preserve">את חטאי </w:t>
      </w:r>
      <w:r w:rsidR="00DF6075">
        <w:rPr>
          <w:rFonts w:ascii="David" w:hAnsi="David" w:cs="David" w:hint="cs"/>
          <w:sz w:val="24"/>
          <w:szCs w:val="24"/>
          <w:rtl/>
        </w:rPr>
        <w:t>גיבוריה,</w:t>
      </w:r>
      <w:r w:rsidR="009D72A7">
        <w:rPr>
          <w:rFonts w:ascii="David" w:hAnsi="David" w:cs="David" w:hint="cs"/>
          <w:sz w:val="24"/>
          <w:szCs w:val="24"/>
          <w:rtl/>
        </w:rPr>
        <w:t xml:space="preserve"> כשישנם כאלו</w:t>
      </w:r>
      <w:r w:rsidR="00864145">
        <w:rPr>
          <w:rFonts w:ascii="David" w:hAnsi="David" w:cs="David" w:hint="cs"/>
          <w:sz w:val="24"/>
          <w:szCs w:val="24"/>
          <w:rtl/>
        </w:rPr>
        <w:t>,</w:t>
      </w:r>
      <w:r w:rsidR="009D72A7">
        <w:rPr>
          <w:rFonts w:ascii="David" w:hAnsi="David" w:cs="David" w:hint="cs"/>
          <w:sz w:val="24"/>
          <w:szCs w:val="24"/>
          <w:rtl/>
        </w:rPr>
        <w:t xml:space="preserve"> </w:t>
      </w:r>
      <w:r w:rsidR="00864145">
        <w:rPr>
          <w:rFonts w:ascii="David" w:hAnsi="David" w:cs="David" w:hint="cs"/>
          <w:sz w:val="24"/>
          <w:szCs w:val="24"/>
          <w:rtl/>
        </w:rPr>
        <w:t>ו</w:t>
      </w:r>
      <w:r w:rsidR="002149CC">
        <w:rPr>
          <w:rFonts w:ascii="David" w:hAnsi="David" w:cs="David" w:hint="cs"/>
          <w:sz w:val="24"/>
          <w:szCs w:val="24"/>
          <w:rtl/>
        </w:rPr>
        <w:t xml:space="preserve">גם </w:t>
      </w:r>
      <w:r w:rsidR="009D72A7">
        <w:rPr>
          <w:rFonts w:ascii="David" w:hAnsi="David" w:cs="David" w:hint="cs"/>
          <w:sz w:val="24"/>
          <w:szCs w:val="24"/>
          <w:rtl/>
        </w:rPr>
        <w:t xml:space="preserve">לא עם אופיו </w:t>
      </w:r>
      <w:r w:rsidR="002A670C">
        <w:rPr>
          <w:rFonts w:ascii="David" w:hAnsi="David" w:cs="David" w:hint="cs"/>
          <w:sz w:val="24"/>
          <w:szCs w:val="24"/>
          <w:rtl/>
        </w:rPr>
        <w:t xml:space="preserve">של האל המקראי, אלהי ישראל, </w:t>
      </w:r>
      <w:r w:rsidR="00864145">
        <w:rPr>
          <w:rFonts w:ascii="David" w:hAnsi="David" w:cs="David" w:hint="cs"/>
          <w:sz w:val="24"/>
          <w:szCs w:val="24"/>
          <w:rtl/>
        </w:rPr>
        <w:t xml:space="preserve">המצויר </w:t>
      </w:r>
      <w:r w:rsidR="002A670C">
        <w:rPr>
          <w:rFonts w:ascii="David" w:hAnsi="David" w:cs="David" w:hint="cs"/>
          <w:sz w:val="24"/>
          <w:szCs w:val="24"/>
          <w:rtl/>
        </w:rPr>
        <w:t xml:space="preserve">כאל אכפתי, הנותן תורה </w:t>
      </w:r>
      <w:r w:rsidR="002A670C">
        <w:rPr>
          <w:rFonts w:ascii="David" w:hAnsi="David" w:cs="David"/>
          <w:sz w:val="24"/>
          <w:szCs w:val="24"/>
          <w:rtl/>
        </w:rPr>
        <w:t>–</w:t>
      </w:r>
      <w:r w:rsidR="002A670C">
        <w:rPr>
          <w:rFonts w:ascii="David" w:hAnsi="David" w:cs="David" w:hint="cs"/>
          <w:sz w:val="24"/>
          <w:szCs w:val="24"/>
          <w:rtl/>
        </w:rPr>
        <w:t xml:space="preserve"> הוראה והדרכה </w:t>
      </w:r>
      <w:r w:rsidR="002A670C">
        <w:rPr>
          <w:rFonts w:ascii="David" w:hAnsi="David" w:cs="David"/>
          <w:sz w:val="24"/>
          <w:szCs w:val="24"/>
          <w:rtl/>
        </w:rPr>
        <w:t>–</w:t>
      </w:r>
      <w:r w:rsidR="002A670C">
        <w:rPr>
          <w:rFonts w:ascii="David" w:hAnsi="David" w:cs="David" w:hint="cs"/>
          <w:sz w:val="24"/>
          <w:szCs w:val="24"/>
          <w:rtl/>
        </w:rPr>
        <w:t xml:space="preserve"> לבני האדם למען ייטב להם. בניגוד לתפיסות דתיות המזהות את האל עם האהבה</w:t>
      </w:r>
      <w:r w:rsidR="009F3C4F">
        <w:rPr>
          <w:rFonts w:ascii="David" w:hAnsi="David" w:cs="David" w:hint="cs"/>
          <w:sz w:val="24"/>
          <w:szCs w:val="24"/>
          <w:rtl/>
        </w:rPr>
        <w:t xml:space="preserve"> (</w:t>
      </w:r>
      <w:r w:rsidR="00864145">
        <w:rPr>
          <w:rFonts w:ascii="David" w:hAnsi="David" w:cs="David" w:hint="cs"/>
          <w:sz w:val="24"/>
          <w:szCs w:val="24"/>
          <w:rtl/>
        </w:rPr>
        <w:t>ראו אגרת יוחנן הראשונה, ד 16</w:t>
      </w:r>
      <w:r w:rsidR="009F3C4F">
        <w:rPr>
          <w:rFonts w:ascii="David" w:hAnsi="David" w:cs="David" w:hint="cs"/>
          <w:sz w:val="24"/>
          <w:szCs w:val="24"/>
          <w:rtl/>
        </w:rPr>
        <w:t>)</w:t>
      </w:r>
      <w:r w:rsidR="002A670C">
        <w:rPr>
          <w:rFonts w:ascii="David" w:hAnsi="David" w:cs="David" w:hint="cs"/>
          <w:sz w:val="24"/>
          <w:szCs w:val="24"/>
          <w:rtl/>
        </w:rPr>
        <w:t xml:space="preserve">, אכפתיות אלוהית לא רק מאפשרת את תכונת הכעס אלא גם מחייבת אותו: חרון אפו של האל (בין אם כ'כעס הפנים' או </w:t>
      </w:r>
      <w:r w:rsidR="00864145">
        <w:rPr>
          <w:rFonts w:ascii="David" w:hAnsi="David" w:cs="David" w:hint="cs"/>
          <w:sz w:val="24"/>
          <w:szCs w:val="24"/>
          <w:rtl/>
        </w:rPr>
        <w:t>כענישה</w:t>
      </w:r>
      <w:r w:rsidR="002A670C">
        <w:rPr>
          <w:rFonts w:ascii="David" w:hAnsi="David" w:cs="David" w:hint="cs"/>
          <w:sz w:val="24"/>
          <w:szCs w:val="24"/>
          <w:rtl/>
        </w:rPr>
        <w:t xml:space="preserve"> </w:t>
      </w:r>
      <w:r w:rsidR="00864145">
        <w:rPr>
          <w:rFonts w:ascii="David" w:hAnsi="David" w:cs="David" w:hint="cs"/>
          <w:sz w:val="24"/>
          <w:szCs w:val="24"/>
          <w:rtl/>
        </w:rPr>
        <w:t>פעילה</w:t>
      </w:r>
      <w:r w:rsidR="002A670C">
        <w:rPr>
          <w:rFonts w:ascii="David" w:hAnsi="David" w:cs="David" w:hint="cs"/>
          <w:sz w:val="24"/>
          <w:szCs w:val="24"/>
          <w:rtl/>
        </w:rPr>
        <w:t>) הוא תולדה של עצם ההבחנה בין טוב לרע, ושל מצב שבו בני עמו, או ברואיו באופן כללי יותר, מועלים בחובתם המוסרית. אל שהוא רק אהבה, ו</w:t>
      </w:r>
      <w:r w:rsidR="009F3C4F">
        <w:rPr>
          <w:rFonts w:ascii="David" w:hAnsi="David" w:cs="David" w:hint="cs"/>
          <w:sz w:val="24"/>
          <w:szCs w:val="24"/>
          <w:rtl/>
        </w:rPr>
        <w:t xml:space="preserve">אשר </w:t>
      </w:r>
      <w:r w:rsidR="002A670C">
        <w:rPr>
          <w:rFonts w:ascii="David" w:hAnsi="David" w:cs="David" w:hint="cs"/>
          <w:sz w:val="24"/>
          <w:szCs w:val="24"/>
          <w:rtl/>
        </w:rPr>
        <w:t xml:space="preserve">ענישה אינה אחת מאפשרויות הפעולה </w:t>
      </w:r>
      <w:r w:rsidR="009F3C4F">
        <w:rPr>
          <w:rFonts w:ascii="David" w:hAnsi="David" w:cs="David" w:hint="cs"/>
          <w:sz w:val="24"/>
          <w:szCs w:val="24"/>
          <w:rtl/>
        </w:rPr>
        <w:t>ה</w:t>
      </w:r>
      <w:r w:rsidR="00864145">
        <w:rPr>
          <w:rFonts w:ascii="David" w:hAnsi="David" w:cs="David" w:hint="cs"/>
          <w:sz w:val="24"/>
          <w:szCs w:val="24"/>
          <w:rtl/>
        </w:rPr>
        <w:t>אפשריו</w:t>
      </w:r>
      <w:r w:rsidR="009F3C4F">
        <w:rPr>
          <w:rFonts w:ascii="David" w:hAnsi="David" w:cs="David" w:hint="cs"/>
          <w:sz w:val="24"/>
          <w:szCs w:val="24"/>
          <w:rtl/>
        </w:rPr>
        <w:t xml:space="preserve">ת </w:t>
      </w:r>
      <w:r w:rsidR="002A670C">
        <w:rPr>
          <w:rFonts w:ascii="David" w:hAnsi="David" w:cs="David" w:hint="cs"/>
          <w:sz w:val="24"/>
          <w:szCs w:val="24"/>
          <w:rtl/>
        </w:rPr>
        <w:t>שלו</w:t>
      </w:r>
      <w:r w:rsidR="009F3C4F">
        <w:rPr>
          <w:rFonts w:ascii="David" w:hAnsi="David" w:cs="David" w:hint="cs"/>
          <w:sz w:val="24"/>
          <w:szCs w:val="24"/>
          <w:rtl/>
        </w:rPr>
        <w:t xml:space="preserve"> במסגרת חיי העולם</w:t>
      </w:r>
      <w:r w:rsidR="002A670C">
        <w:rPr>
          <w:rFonts w:ascii="David" w:hAnsi="David" w:cs="David" w:hint="cs"/>
          <w:sz w:val="24"/>
          <w:szCs w:val="24"/>
          <w:rtl/>
        </w:rPr>
        <w:t xml:space="preserve">, אינו אל הפונה לבני אדם כבני אדם. ולחילופין, לא ברור מה הוא מצפה מהם, כבני אדם הברואים בגוף, בעולם הזה. </w:t>
      </w:r>
      <w:r w:rsidR="002149CC">
        <w:rPr>
          <w:rFonts w:ascii="David" w:hAnsi="David" w:cs="David" w:hint="cs"/>
          <w:sz w:val="24"/>
          <w:szCs w:val="24"/>
          <w:rtl/>
        </w:rPr>
        <w:t xml:space="preserve">אל </w:t>
      </w:r>
      <w:r w:rsidR="009F3C4F">
        <w:rPr>
          <w:rFonts w:ascii="David" w:hAnsi="David" w:cs="David" w:hint="cs"/>
          <w:sz w:val="24"/>
          <w:szCs w:val="24"/>
          <w:rtl/>
        </w:rPr>
        <w:t>הזהה</w:t>
      </w:r>
      <w:r w:rsidR="002149CC">
        <w:rPr>
          <w:rFonts w:ascii="David" w:hAnsi="David" w:cs="David" w:hint="cs"/>
          <w:sz w:val="24"/>
          <w:szCs w:val="24"/>
          <w:rtl/>
        </w:rPr>
        <w:t xml:space="preserve"> לאהבה</w:t>
      </w:r>
      <w:r w:rsidR="00C4071E">
        <w:rPr>
          <w:rFonts w:ascii="David" w:hAnsi="David" w:cs="David" w:hint="cs"/>
          <w:sz w:val="24"/>
          <w:szCs w:val="24"/>
          <w:rtl/>
        </w:rPr>
        <w:t>, ואשר אהבה ממצה את בשורתו,</w:t>
      </w:r>
      <w:r w:rsidR="002149CC">
        <w:rPr>
          <w:rFonts w:ascii="David" w:hAnsi="David" w:cs="David" w:hint="cs"/>
          <w:sz w:val="24"/>
          <w:szCs w:val="24"/>
          <w:rtl/>
        </w:rPr>
        <w:t xml:space="preserve"> אינו מותיר למאמיניו מקום ברור לשיפוטיות, המבוססת </w:t>
      </w:r>
      <w:r w:rsidR="009F3C4F">
        <w:rPr>
          <w:rFonts w:ascii="David" w:hAnsi="David" w:cs="David" w:hint="cs"/>
          <w:sz w:val="24"/>
          <w:szCs w:val="24"/>
          <w:rtl/>
        </w:rPr>
        <w:t xml:space="preserve">מטבעה </w:t>
      </w:r>
      <w:r w:rsidR="002149CC">
        <w:rPr>
          <w:rFonts w:ascii="David" w:hAnsi="David" w:cs="David" w:hint="cs"/>
          <w:sz w:val="24"/>
          <w:szCs w:val="24"/>
          <w:rtl/>
        </w:rPr>
        <w:t xml:space="preserve">על הבחנות. בהיעדר הבחנות, </w:t>
      </w:r>
      <w:r w:rsidR="00C4071E">
        <w:rPr>
          <w:rFonts w:ascii="David" w:hAnsi="David" w:cs="David" w:hint="cs"/>
          <w:sz w:val="24"/>
          <w:szCs w:val="24"/>
          <w:rtl/>
        </w:rPr>
        <w:t xml:space="preserve">גם </w:t>
      </w:r>
      <w:r w:rsidR="002149CC">
        <w:rPr>
          <w:rFonts w:ascii="David" w:hAnsi="David" w:cs="David" w:hint="cs"/>
          <w:sz w:val="24"/>
          <w:szCs w:val="24"/>
          <w:rtl/>
        </w:rPr>
        <w:t>אין בסיס ברור ל</w:t>
      </w:r>
      <w:r w:rsidR="009F3C4F">
        <w:rPr>
          <w:rFonts w:ascii="David" w:hAnsi="David" w:cs="David" w:hint="cs"/>
          <w:sz w:val="24"/>
          <w:szCs w:val="24"/>
          <w:rtl/>
        </w:rPr>
        <w:t xml:space="preserve">מושג </w:t>
      </w:r>
      <w:r w:rsidR="00C4071E">
        <w:rPr>
          <w:rFonts w:ascii="David" w:hAnsi="David" w:cs="David" w:hint="cs"/>
          <w:sz w:val="24"/>
          <w:szCs w:val="24"/>
          <w:rtl/>
        </w:rPr>
        <w:t xml:space="preserve">המוסרי של </w:t>
      </w:r>
      <w:r w:rsidR="009F3C4F">
        <w:rPr>
          <w:rFonts w:ascii="David" w:hAnsi="David" w:cs="David" w:hint="cs"/>
          <w:sz w:val="24"/>
          <w:szCs w:val="24"/>
          <w:rtl/>
        </w:rPr>
        <w:t>ה</w:t>
      </w:r>
      <w:r w:rsidR="002149CC" w:rsidRPr="009F3C4F">
        <w:rPr>
          <w:rFonts w:ascii="David" w:hAnsi="David" w:cs="David" w:hint="cs"/>
          <w:b/>
          <w:bCs/>
          <w:sz w:val="24"/>
          <w:szCs w:val="24"/>
          <w:rtl/>
        </w:rPr>
        <w:t>כבוד</w:t>
      </w:r>
      <w:r w:rsidR="002149CC">
        <w:rPr>
          <w:rFonts w:ascii="David" w:hAnsi="David" w:cs="David" w:hint="cs"/>
          <w:sz w:val="24"/>
          <w:szCs w:val="24"/>
          <w:rtl/>
        </w:rPr>
        <w:t>. בעוד האהבה מבוססת על חיבור ו</w:t>
      </w:r>
      <w:r w:rsidR="009F3C4F">
        <w:rPr>
          <w:rFonts w:ascii="David" w:hAnsi="David" w:cs="David" w:hint="cs"/>
          <w:sz w:val="24"/>
          <w:szCs w:val="24"/>
          <w:rtl/>
        </w:rPr>
        <w:t>היקשרות,</w:t>
      </w:r>
      <w:r w:rsidR="002149CC">
        <w:rPr>
          <w:rFonts w:ascii="David" w:hAnsi="David" w:cs="David" w:hint="cs"/>
          <w:sz w:val="24"/>
          <w:szCs w:val="24"/>
          <w:rtl/>
        </w:rPr>
        <w:t xml:space="preserve"> כבוד מבוסס על הבחנות וקוים ברורים שאין לחצותם</w:t>
      </w:r>
      <w:r w:rsidR="005B255A">
        <w:rPr>
          <w:rFonts w:ascii="David" w:hAnsi="David" w:cs="David" w:hint="cs"/>
          <w:sz w:val="24"/>
          <w:szCs w:val="24"/>
          <w:rtl/>
        </w:rPr>
        <w:t>, וגבולות שאין להסיגם</w:t>
      </w:r>
      <w:r w:rsidR="002149CC">
        <w:rPr>
          <w:rFonts w:ascii="David" w:hAnsi="David" w:cs="David" w:hint="cs"/>
          <w:sz w:val="24"/>
          <w:szCs w:val="24"/>
          <w:rtl/>
        </w:rPr>
        <w:t xml:space="preserve">. </w:t>
      </w:r>
    </w:p>
    <w:p w14:paraId="78C0A2D1" w14:textId="77777777" w:rsidR="00C4071E" w:rsidRDefault="002149CC" w:rsidP="00C4071E">
      <w:pPr>
        <w:bidi/>
        <w:spacing w:line="360" w:lineRule="auto"/>
        <w:jc w:val="both"/>
        <w:rPr>
          <w:rFonts w:ascii="David" w:hAnsi="David" w:cs="David"/>
          <w:sz w:val="24"/>
          <w:szCs w:val="24"/>
          <w:rtl/>
        </w:rPr>
      </w:pPr>
      <w:r>
        <w:rPr>
          <w:rFonts w:ascii="David" w:hAnsi="David" w:cs="David" w:hint="cs"/>
          <w:sz w:val="24"/>
          <w:szCs w:val="24"/>
          <w:rtl/>
        </w:rPr>
        <w:t xml:space="preserve">בנקודה זו מביע בלעם </w:t>
      </w:r>
      <w:r w:rsidR="004C0929">
        <w:rPr>
          <w:rFonts w:ascii="David" w:hAnsi="David" w:cs="David" w:hint="cs"/>
          <w:sz w:val="24"/>
          <w:szCs w:val="24"/>
          <w:rtl/>
        </w:rPr>
        <w:t xml:space="preserve">טענה מעניינת שנהייתה מצע להבנה עצמית יהודית </w:t>
      </w:r>
      <w:r w:rsidR="009F3C4F">
        <w:rPr>
          <w:rFonts w:ascii="David" w:hAnsi="David" w:cs="David" w:hint="cs"/>
          <w:sz w:val="24"/>
          <w:szCs w:val="24"/>
          <w:rtl/>
        </w:rPr>
        <w:t>חשובה</w:t>
      </w:r>
      <w:r w:rsidR="004C0929">
        <w:rPr>
          <w:rFonts w:ascii="David" w:hAnsi="David" w:cs="David" w:hint="cs"/>
          <w:sz w:val="24"/>
          <w:szCs w:val="24"/>
          <w:rtl/>
        </w:rPr>
        <w:t xml:space="preserve"> בתחום האתיקה של הצניעות.</w:t>
      </w:r>
      <w:r w:rsidR="00C4071E">
        <w:rPr>
          <w:rFonts w:ascii="David" w:hAnsi="David" w:cs="David" w:hint="cs"/>
          <w:sz w:val="24"/>
          <w:szCs w:val="24"/>
          <w:rtl/>
        </w:rPr>
        <w:t xml:space="preserve"> </w:t>
      </w:r>
      <w:r w:rsidR="004C0929">
        <w:rPr>
          <w:rFonts w:ascii="David" w:hAnsi="David" w:cs="David" w:hint="cs"/>
          <w:sz w:val="24"/>
          <w:szCs w:val="24"/>
          <w:rtl/>
        </w:rPr>
        <w:t xml:space="preserve">בלעם </w:t>
      </w:r>
      <w:r w:rsidR="009F3C4F">
        <w:rPr>
          <w:rFonts w:ascii="David" w:hAnsi="David" w:cs="David" w:hint="cs"/>
          <w:sz w:val="24"/>
          <w:szCs w:val="24"/>
          <w:rtl/>
        </w:rPr>
        <w:t>נושא את עיניו</w:t>
      </w:r>
      <w:r w:rsidR="004C0929">
        <w:rPr>
          <w:rFonts w:ascii="David" w:hAnsi="David" w:cs="David" w:hint="cs"/>
          <w:sz w:val="24"/>
          <w:szCs w:val="24"/>
          <w:rtl/>
        </w:rPr>
        <w:t xml:space="preserve">: </w:t>
      </w:r>
      <w:r w:rsidR="009F3C4F">
        <w:rPr>
          <w:rFonts w:ascii="David" w:hAnsi="David" w:cs="David" w:hint="cs"/>
          <w:sz w:val="24"/>
          <w:szCs w:val="24"/>
          <w:rtl/>
        </w:rPr>
        <w:t>"</w:t>
      </w:r>
      <w:r w:rsidR="009F3C4F" w:rsidRPr="009F3C4F">
        <w:rPr>
          <w:rFonts w:ascii="David" w:hAnsi="David" w:cs="David"/>
          <w:sz w:val="24"/>
          <w:szCs w:val="24"/>
          <w:rtl/>
        </w:rPr>
        <w:t>וַיַּרְא אֶת</w:t>
      </w:r>
      <w:r w:rsidR="009F3C4F">
        <w:rPr>
          <w:rFonts w:ascii="David" w:hAnsi="David" w:cs="David" w:hint="cs"/>
          <w:sz w:val="24"/>
          <w:szCs w:val="24"/>
          <w:rtl/>
        </w:rPr>
        <w:t xml:space="preserve"> </w:t>
      </w:r>
      <w:r w:rsidR="009F3C4F" w:rsidRPr="009F3C4F">
        <w:rPr>
          <w:rFonts w:ascii="David" w:hAnsi="David" w:cs="David"/>
          <w:sz w:val="24"/>
          <w:szCs w:val="24"/>
          <w:rtl/>
        </w:rPr>
        <w:t>יִשְׂרָאֵל שֹׁכֵן לִשְׁבָטָיו</w:t>
      </w:r>
      <w:r w:rsidR="009F3C4F">
        <w:rPr>
          <w:rFonts w:ascii="David" w:hAnsi="David" w:cs="David" w:hint="cs"/>
          <w:sz w:val="24"/>
          <w:szCs w:val="24"/>
          <w:rtl/>
        </w:rPr>
        <w:t xml:space="preserve">" (במדבר </w:t>
      </w:r>
      <w:r w:rsidR="00F168E7">
        <w:rPr>
          <w:rFonts w:ascii="David" w:hAnsi="David" w:cs="David" w:hint="cs"/>
          <w:sz w:val="24"/>
          <w:szCs w:val="24"/>
          <w:rtl/>
        </w:rPr>
        <w:t xml:space="preserve">כד 2), וקובע: </w:t>
      </w:r>
      <w:r w:rsidR="00EB2586">
        <w:rPr>
          <w:rFonts w:ascii="David" w:hAnsi="David" w:cs="David" w:hint="cs"/>
          <w:sz w:val="24"/>
          <w:szCs w:val="24"/>
          <w:rtl/>
        </w:rPr>
        <w:t>"</w:t>
      </w:r>
      <w:r w:rsidR="00EB2586" w:rsidRPr="00EB2586">
        <w:rPr>
          <w:rFonts w:ascii="David" w:hAnsi="David" w:cs="David"/>
          <w:sz w:val="24"/>
          <w:szCs w:val="24"/>
          <w:rtl/>
        </w:rPr>
        <w:t>מַה</w:t>
      </w:r>
      <w:r w:rsidR="00EB2586">
        <w:rPr>
          <w:rFonts w:ascii="David" w:hAnsi="David" w:cs="David" w:hint="cs"/>
          <w:sz w:val="24"/>
          <w:szCs w:val="24"/>
          <w:rtl/>
        </w:rPr>
        <w:t xml:space="preserve"> </w:t>
      </w:r>
      <w:r w:rsidR="00EB2586" w:rsidRPr="00EB2586">
        <w:rPr>
          <w:rFonts w:ascii="David" w:hAnsi="David" w:cs="David"/>
          <w:sz w:val="24"/>
          <w:szCs w:val="24"/>
          <w:rtl/>
        </w:rPr>
        <w:t>טֹּבוּ אֹהָלֶיךָ יַעֲקֹב מִשְׁכְּנֹתֶיךָ יִשְׂרָאֵל</w:t>
      </w:r>
      <w:r w:rsidR="00EB2586">
        <w:rPr>
          <w:rFonts w:ascii="David" w:hAnsi="David" w:cs="David" w:hint="cs"/>
          <w:sz w:val="24"/>
          <w:szCs w:val="24"/>
          <w:rtl/>
        </w:rPr>
        <w:t xml:space="preserve">" (במדבר כד, </w:t>
      </w:r>
      <w:r w:rsidR="00F168E7">
        <w:rPr>
          <w:rFonts w:ascii="David" w:hAnsi="David" w:cs="David" w:hint="cs"/>
          <w:sz w:val="24"/>
          <w:szCs w:val="24"/>
          <w:rtl/>
        </w:rPr>
        <w:t>5</w:t>
      </w:r>
      <w:r w:rsidR="00EB2586">
        <w:rPr>
          <w:rFonts w:ascii="David" w:hAnsi="David" w:cs="David" w:hint="cs"/>
          <w:sz w:val="24"/>
          <w:szCs w:val="24"/>
          <w:rtl/>
        </w:rPr>
        <w:t>)</w:t>
      </w:r>
      <w:r w:rsidR="004C0929">
        <w:rPr>
          <w:rFonts w:ascii="David" w:hAnsi="David" w:cs="David" w:hint="cs"/>
          <w:sz w:val="24"/>
          <w:szCs w:val="24"/>
          <w:rtl/>
        </w:rPr>
        <w:t>.</w:t>
      </w:r>
      <w:r w:rsidR="009F3C4F">
        <w:rPr>
          <w:rFonts w:ascii="David" w:hAnsi="David" w:cs="David" w:hint="cs"/>
          <w:sz w:val="24"/>
          <w:szCs w:val="24"/>
          <w:rtl/>
        </w:rPr>
        <w:t xml:space="preserve"> פשט הפסוק </w:t>
      </w:r>
      <w:r w:rsidR="001140A3">
        <w:rPr>
          <w:rFonts w:ascii="David" w:hAnsi="David" w:cs="David" w:hint="cs"/>
          <w:sz w:val="24"/>
          <w:szCs w:val="24"/>
          <w:rtl/>
        </w:rPr>
        <w:t xml:space="preserve">השני </w:t>
      </w:r>
      <w:r w:rsidR="009F3C4F">
        <w:rPr>
          <w:rFonts w:ascii="David" w:hAnsi="David" w:cs="David" w:hint="cs"/>
          <w:sz w:val="24"/>
          <w:szCs w:val="24"/>
          <w:rtl/>
        </w:rPr>
        <w:t xml:space="preserve">הוא </w:t>
      </w:r>
      <w:r w:rsidR="001140A3">
        <w:rPr>
          <w:rFonts w:ascii="David" w:hAnsi="David" w:cs="David" w:hint="cs"/>
          <w:sz w:val="24"/>
          <w:szCs w:val="24"/>
          <w:rtl/>
        </w:rPr>
        <w:t xml:space="preserve">הבעת </w:t>
      </w:r>
      <w:r w:rsidR="009F3C4F">
        <w:rPr>
          <w:rFonts w:ascii="David" w:hAnsi="David" w:cs="David" w:hint="cs"/>
          <w:sz w:val="24"/>
          <w:szCs w:val="24"/>
          <w:rtl/>
        </w:rPr>
        <w:t xml:space="preserve">הערכה כלפי טובו </w:t>
      </w:r>
      <w:r w:rsidR="001140A3">
        <w:rPr>
          <w:rFonts w:ascii="David" w:hAnsi="David" w:cs="David" w:hint="cs"/>
          <w:sz w:val="24"/>
          <w:szCs w:val="24"/>
          <w:rtl/>
        </w:rPr>
        <w:t xml:space="preserve">וארגונו </w:t>
      </w:r>
      <w:r w:rsidR="009F3C4F">
        <w:rPr>
          <w:rFonts w:ascii="David" w:hAnsi="David" w:cs="David" w:hint="cs"/>
          <w:sz w:val="24"/>
          <w:szCs w:val="24"/>
          <w:rtl/>
        </w:rPr>
        <w:t>של מחנה ישראל ע</w:t>
      </w:r>
      <w:r w:rsidR="001140A3">
        <w:rPr>
          <w:rFonts w:ascii="David" w:hAnsi="David" w:cs="David" w:hint="cs"/>
          <w:sz w:val="24"/>
          <w:szCs w:val="24"/>
          <w:rtl/>
        </w:rPr>
        <w:t>ל</w:t>
      </w:r>
      <w:r w:rsidR="009F3C4F">
        <w:rPr>
          <w:rFonts w:ascii="David" w:hAnsi="David" w:cs="David" w:hint="cs"/>
          <w:sz w:val="24"/>
          <w:szCs w:val="24"/>
          <w:rtl/>
        </w:rPr>
        <w:t xml:space="preserve"> אוהליו.</w:t>
      </w:r>
      <w:r w:rsidR="00F168E7">
        <w:rPr>
          <w:rFonts w:ascii="David" w:hAnsi="David" w:cs="David" w:hint="cs"/>
          <w:sz w:val="24"/>
          <w:szCs w:val="24"/>
          <w:rtl/>
        </w:rPr>
        <w:t xml:space="preserve"> </w:t>
      </w:r>
      <w:r w:rsidR="00C4071E">
        <w:rPr>
          <w:rFonts w:ascii="David" w:hAnsi="David" w:cs="David" w:hint="cs"/>
          <w:sz w:val="24"/>
          <w:szCs w:val="24"/>
          <w:rtl/>
        </w:rPr>
        <w:t xml:space="preserve">ההבנה הרווחת של הפסוק, על כל פנים, הולכת </w:t>
      </w:r>
      <w:r w:rsidR="00F168E7">
        <w:rPr>
          <w:rFonts w:ascii="David" w:hAnsi="David" w:cs="David" w:hint="cs"/>
          <w:sz w:val="24"/>
          <w:szCs w:val="24"/>
          <w:rtl/>
        </w:rPr>
        <w:t xml:space="preserve">בעקבות רש"י, </w:t>
      </w:r>
      <w:r w:rsidR="00C4071E">
        <w:rPr>
          <w:rFonts w:ascii="David" w:hAnsi="David" w:cs="David" w:hint="cs"/>
          <w:sz w:val="24"/>
          <w:szCs w:val="24"/>
          <w:rtl/>
        </w:rPr>
        <w:t>א</w:t>
      </w:r>
      <w:r w:rsidR="00F168E7">
        <w:rPr>
          <w:rFonts w:ascii="David" w:hAnsi="David" w:cs="David" w:hint="cs"/>
          <w:sz w:val="24"/>
          <w:szCs w:val="24"/>
          <w:rtl/>
        </w:rPr>
        <w:t>ש</w:t>
      </w:r>
      <w:r w:rsidR="00C4071E">
        <w:rPr>
          <w:rFonts w:ascii="David" w:hAnsi="David" w:cs="David" w:hint="cs"/>
          <w:sz w:val="24"/>
          <w:szCs w:val="24"/>
          <w:rtl/>
        </w:rPr>
        <w:t xml:space="preserve">ר </w:t>
      </w:r>
      <w:r w:rsidR="001140A3">
        <w:rPr>
          <w:rFonts w:ascii="David" w:hAnsi="David" w:cs="David" w:hint="cs"/>
          <w:sz w:val="24"/>
          <w:szCs w:val="24"/>
          <w:rtl/>
        </w:rPr>
        <w:t>כתב</w:t>
      </w:r>
      <w:r w:rsidR="00F168E7">
        <w:rPr>
          <w:rFonts w:ascii="David" w:hAnsi="David" w:cs="David" w:hint="cs"/>
          <w:sz w:val="24"/>
          <w:szCs w:val="24"/>
          <w:rtl/>
        </w:rPr>
        <w:t xml:space="preserve"> </w:t>
      </w:r>
      <w:r w:rsidR="00082FF3">
        <w:rPr>
          <w:rFonts w:ascii="David" w:hAnsi="David" w:cs="David" w:hint="cs"/>
          <w:sz w:val="24"/>
          <w:szCs w:val="24"/>
          <w:rtl/>
        </w:rPr>
        <w:t xml:space="preserve">(במדבר כד 2, ד"ה 'שוכן לשבטיו') </w:t>
      </w:r>
      <w:r w:rsidR="001140A3">
        <w:rPr>
          <w:rFonts w:ascii="David" w:hAnsi="David" w:cs="David" w:hint="cs"/>
          <w:sz w:val="24"/>
          <w:szCs w:val="24"/>
          <w:rtl/>
        </w:rPr>
        <w:t xml:space="preserve">כי </w:t>
      </w:r>
      <w:r w:rsidR="002B3B3F">
        <w:rPr>
          <w:rFonts w:ascii="David" w:hAnsi="David" w:cs="David" w:hint="cs"/>
          <w:sz w:val="24"/>
          <w:szCs w:val="24"/>
          <w:rtl/>
        </w:rPr>
        <w:t xml:space="preserve">בלעם </w:t>
      </w:r>
      <w:r w:rsidR="00F168E7">
        <w:rPr>
          <w:rFonts w:ascii="David" w:hAnsi="David" w:cs="David" w:hint="cs"/>
          <w:sz w:val="24"/>
          <w:szCs w:val="24"/>
          <w:rtl/>
        </w:rPr>
        <w:t>"</w:t>
      </w:r>
      <w:r w:rsidR="00F168E7" w:rsidRPr="00F168E7">
        <w:rPr>
          <w:rFonts w:ascii="David" w:hAnsi="David" w:cs="David"/>
          <w:sz w:val="24"/>
          <w:szCs w:val="24"/>
          <w:rtl/>
        </w:rPr>
        <w:t>ראה כל שבט ושבט שוכן לעצמו ואינן מעורבין, ראה שאין פתחיהם מכוונין זה כנגד זה, שלא יציץ לתוך אהל חברו</w:t>
      </w:r>
      <w:r w:rsidR="00F168E7">
        <w:rPr>
          <w:rFonts w:ascii="David" w:hAnsi="David" w:cs="David" w:hint="cs"/>
          <w:sz w:val="24"/>
          <w:szCs w:val="24"/>
          <w:rtl/>
        </w:rPr>
        <w:t>".</w:t>
      </w:r>
      <w:r w:rsidR="005F4462">
        <w:rPr>
          <w:rFonts w:ascii="David" w:hAnsi="David" w:cs="David" w:hint="cs"/>
          <w:sz w:val="24"/>
          <w:szCs w:val="24"/>
          <w:rtl/>
        </w:rPr>
        <w:t xml:space="preserve"> </w:t>
      </w:r>
      <w:r w:rsidR="00DF6075">
        <w:rPr>
          <w:rFonts w:ascii="David" w:hAnsi="David" w:cs="David" w:hint="cs"/>
          <w:sz w:val="24"/>
          <w:szCs w:val="24"/>
          <w:rtl/>
        </w:rPr>
        <w:t xml:space="preserve">בניגוד לכך, הזנות של בני ישראל עם בנות מואב </w:t>
      </w:r>
      <w:r w:rsidR="00580697">
        <w:rPr>
          <w:rFonts w:ascii="David" w:hAnsi="David" w:cs="David" w:hint="cs"/>
          <w:sz w:val="24"/>
          <w:szCs w:val="24"/>
          <w:rtl/>
        </w:rPr>
        <w:t xml:space="preserve">מיד לאחר סיפור בלעם </w:t>
      </w:r>
      <w:r w:rsidR="00DF6075">
        <w:rPr>
          <w:rFonts w:ascii="David" w:hAnsi="David" w:cs="David" w:hint="cs"/>
          <w:sz w:val="24"/>
          <w:szCs w:val="24"/>
          <w:rtl/>
        </w:rPr>
        <w:t>(במדבר כה 1</w:t>
      </w:r>
      <w:r w:rsidR="00DF6075">
        <w:rPr>
          <w:rFonts w:ascii="David" w:hAnsi="David" w:cs="David"/>
          <w:sz w:val="24"/>
          <w:szCs w:val="24"/>
          <w:rtl/>
        </w:rPr>
        <w:t>—</w:t>
      </w:r>
      <w:r w:rsidR="00DF6075">
        <w:rPr>
          <w:rFonts w:ascii="David" w:hAnsi="David" w:cs="David" w:hint="cs"/>
          <w:sz w:val="24"/>
          <w:szCs w:val="24"/>
          <w:rtl/>
        </w:rPr>
        <w:t>3) מאופיינת בפריצת גבולות וב'חיבוריות'</w:t>
      </w:r>
      <w:r w:rsidR="00755F37">
        <w:rPr>
          <w:rFonts w:ascii="David" w:hAnsi="David" w:cs="David" w:hint="cs"/>
          <w:sz w:val="24"/>
          <w:szCs w:val="24"/>
          <w:rtl/>
        </w:rPr>
        <w:t xml:space="preserve"> שבה האישי ביותר מחולל ונהיה לנחלת הקולקטיב</w:t>
      </w:r>
      <w:r w:rsidR="005B255A">
        <w:rPr>
          <w:rFonts w:ascii="David" w:hAnsi="David" w:cs="David" w:hint="cs"/>
          <w:sz w:val="24"/>
          <w:szCs w:val="24"/>
          <w:rtl/>
        </w:rPr>
        <w:t>, הכלל</w:t>
      </w:r>
      <w:r w:rsidR="00DF6075">
        <w:rPr>
          <w:rFonts w:ascii="David" w:hAnsi="David" w:cs="David" w:hint="cs"/>
          <w:sz w:val="24"/>
          <w:szCs w:val="24"/>
          <w:rtl/>
        </w:rPr>
        <w:t>: "</w:t>
      </w:r>
      <w:r w:rsidR="00DF6075" w:rsidRPr="00DF6075">
        <w:rPr>
          <w:rFonts w:ascii="David" w:hAnsi="David" w:cs="David"/>
          <w:sz w:val="24"/>
          <w:szCs w:val="24"/>
          <w:rtl/>
        </w:rPr>
        <w:t>וַיִּצָּמֶד יִשְׂרָאֵל לְבַעַל פְּעוֹר</w:t>
      </w:r>
      <w:r w:rsidR="00DF6075">
        <w:rPr>
          <w:rFonts w:ascii="David" w:hAnsi="David" w:cs="David" w:hint="cs"/>
          <w:sz w:val="24"/>
          <w:szCs w:val="24"/>
          <w:rtl/>
        </w:rPr>
        <w:t>" (שם, 3)</w:t>
      </w:r>
      <w:r w:rsidR="00755F37">
        <w:rPr>
          <w:rFonts w:ascii="David" w:hAnsi="David" w:cs="David" w:hint="cs"/>
          <w:sz w:val="24"/>
          <w:szCs w:val="24"/>
          <w:rtl/>
        </w:rPr>
        <w:t>, אין זה מקרי ש'ישראל' מתואר כאן כשם עצם קיבוצי. באשר אנשים מאליהים את יצר המין ומקנים לו את הבעלות</w:t>
      </w:r>
      <w:r w:rsidR="00580697">
        <w:rPr>
          <w:rFonts w:ascii="David" w:hAnsi="David" w:cs="David" w:hint="cs"/>
          <w:sz w:val="24"/>
          <w:szCs w:val="24"/>
          <w:rtl/>
        </w:rPr>
        <w:t xml:space="preserve"> על ניהול חייהם</w:t>
      </w:r>
      <w:r w:rsidR="00755F37">
        <w:rPr>
          <w:rFonts w:ascii="David" w:hAnsi="David" w:cs="David" w:hint="cs"/>
          <w:sz w:val="24"/>
          <w:szCs w:val="24"/>
          <w:rtl/>
        </w:rPr>
        <w:t xml:space="preserve">, הם </w:t>
      </w:r>
      <w:r w:rsidR="00580697">
        <w:rPr>
          <w:rFonts w:ascii="David" w:hAnsi="David" w:cs="David" w:hint="cs"/>
          <w:sz w:val="24"/>
          <w:szCs w:val="24"/>
          <w:rtl/>
        </w:rPr>
        <w:t xml:space="preserve">בה בעת </w:t>
      </w:r>
      <w:r w:rsidR="00755F37">
        <w:rPr>
          <w:rFonts w:ascii="David" w:hAnsi="David" w:cs="David" w:hint="cs"/>
          <w:sz w:val="24"/>
          <w:szCs w:val="24"/>
          <w:rtl/>
        </w:rPr>
        <w:t>מאבדים את פרטיותם; אדם המבטל את הגבולות הנורמטיביים בינו לזולתו, חותר תחת הגדרתו כאדם, והופך לחפץ, לאובייקט</w:t>
      </w:r>
      <w:r w:rsidR="00C4071E">
        <w:rPr>
          <w:rFonts w:ascii="David" w:hAnsi="David" w:cs="David" w:hint="cs"/>
          <w:sz w:val="24"/>
          <w:szCs w:val="24"/>
          <w:rtl/>
        </w:rPr>
        <w:t xml:space="preserve"> (</w:t>
      </w:r>
      <w:r w:rsidR="005B255A">
        <w:rPr>
          <w:rFonts w:ascii="David" w:hAnsi="David" w:cs="David" w:hint="cs"/>
          <w:sz w:val="24"/>
          <w:szCs w:val="24"/>
          <w:rtl/>
        </w:rPr>
        <w:t>תופעה דומה מתרחשת, כך נדמה, באמצעי 'שידוך' בני זמננו שבהם האדם נמדד בהגדרות סחירות ומקושר באמצעות אלגוריתם ל'סחורות' שקולות ערך</w:t>
      </w:r>
      <w:r w:rsidR="00580697">
        <w:rPr>
          <w:rFonts w:ascii="David" w:hAnsi="David" w:cs="David" w:hint="cs"/>
          <w:sz w:val="24"/>
          <w:szCs w:val="24"/>
          <w:rtl/>
        </w:rPr>
        <w:t xml:space="preserve"> לו</w:t>
      </w:r>
      <w:r w:rsidR="00C4071E">
        <w:rPr>
          <w:rFonts w:ascii="David" w:hAnsi="David" w:cs="David" w:hint="cs"/>
          <w:sz w:val="24"/>
          <w:szCs w:val="24"/>
          <w:rtl/>
        </w:rPr>
        <w:t>)</w:t>
      </w:r>
      <w:r w:rsidR="005B255A">
        <w:rPr>
          <w:rFonts w:ascii="David" w:hAnsi="David" w:cs="David" w:hint="cs"/>
          <w:sz w:val="24"/>
          <w:szCs w:val="24"/>
          <w:rtl/>
        </w:rPr>
        <w:t>.</w:t>
      </w:r>
    </w:p>
    <w:p w14:paraId="11332F47" w14:textId="77777777" w:rsidR="00864145" w:rsidRDefault="005B255A" w:rsidP="00C4071E">
      <w:pPr>
        <w:bidi/>
        <w:spacing w:line="360" w:lineRule="auto"/>
        <w:jc w:val="both"/>
        <w:rPr>
          <w:rFonts w:ascii="David" w:hAnsi="David" w:cs="David"/>
          <w:sz w:val="24"/>
          <w:szCs w:val="24"/>
          <w:rtl/>
        </w:rPr>
      </w:pPr>
      <w:r>
        <w:rPr>
          <w:rFonts w:ascii="David" w:hAnsi="David" w:cs="David" w:hint="cs"/>
          <w:sz w:val="24"/>
          <w:szCs w:val="24"/>
          <w:rtl/>
        </w:rPr>
        <w:lastRenderedPageBreak/>
        <w:t xml:space="preserve">חברה שבה האדם הוא שקוף למדידה כמותית, שבה ניתן 'לפרוש את האדם עד תום', בלשונו </w:t>
      </w:r>
      <w:r w:rsidR="00864145">
        <w:rPr>
          <w:rFonts w:ascii="David" w:hAnsi="David" w:cs="David" w:hint="cs"/>
          <w:sz w:val="24"/>
          <w:szCs w:val="24"/>
          <w:rtl/>
        </w:rPr>
        <w:t xml:space="preserve">השירית </w:t>
      </w:r>
      <w:r>
        <w:rPr>
          <w:rFonts w:ascii="David" w:hAnsi="David" w:cs="David" w:hint="cs"/>
          <w:sz w:val="24"/>
          <w:szCs w:val="24"/>
          <w:rtl/>
        </w:rPr>
        <w:t xml:space="preserve">של שלמה טנאי, היא חברה שאין בה פרטיות (עוד לפני שדיברנו על מצלמות </w:t>
      </w:r>
      <w:r w:rsidR="00580697">
        <w:rPr>
          <w:rFonts w:ascii="David" w:hAnsi="David" w:cs="David" w:hint="cs"/>
          <w:sz w:val="24"/>
          <w:szCs w:val="24"/>
          <w:rtl/>
        </w:rPr>
        <w:t>ב</w:t>
      </w:r>
      <w:r w:rsidR="00864145">
        <w:rPr>
          <w:rFonts w:ascii="David" w:hAnsi="David" w:cs="David" w:hint="cs"/>
          <w:sz w:val="24"/>
          <w:szCs w:val="24"/>
          <w:rtl/>
        </w:rPr>
        <w:t>מרחב</w:t>
      </w:r>
      <w:r w:rsidR="00580697">
        <w:rPr>
          <w:rFonts w:ascii="David" w:hAnsi="David" w:cs="David" w:hint="cs"/>
          <w:sz w:val="24"/>
          <w:szCs w:val="24"/>
          <w:rtl/>
        </w:rPr>
        <w:t xml:space="preserve"> הציבורי והפרטי</w:t>
      </w:r>
      <w:r>
        <w:rPr>
          <w:rFonts w:ascii="David" w:hAnsi="David" w:cs="David" w:hint="cs"/>
          <w:sz w:val="24"/>
          <w:szCs w:val="24"/>
          <w:rtl/>
        </w:rPr>
        <w:t>). פרטיות היא ההנחה שישנו אדם פרט</w:t>
      </w:r>
      <w:r w:rsidR="00C4071E">
        <w:rPr>
          <w:rFonts w:ascii="David" w:hAnsi="David" w:cs="David" w:hint="cs"/>
          <w:sz w:val="24"/>
          <w:szCs w:val="24"/>
          <w:rtl/>
        </w:rPr>
        <w:t>י,</w:t>
      </w:r>
      <w:r>
        <w:rPr>
          <w:rFonts w:ascii="David" w:hAnsi="David" w:cs="David" w:hint="cs"/>
          <w:sz w:val="24"/>
          <w:szCs w:val="24"/>
          <w:rtl/>
        </w:rPr>
        <w:t xml:space="preserve"> </w:t>
      </w:r>
      <w:r w:rsidR="00C4071E">
        <w:rPr>
          <w:rFonts w:ascii="David" w:hAnsi="David" w:cs="David" w:hint="cs"/>
          <w:sz w:val="24"/>
          <w:szCs w:val="24"/>
          <w:rtl/>
        </w:rPr>
        <w:t xml:space="preserve">ספציפי, </w:t>
      </w:r>
      <w:r w:rsidR="00580697">
        <w:rPr>
          <w:rFonts w:ascii="David" w:hAnsi="David" w:cs="David" w:hint="cs"/>
          <w:sz w:val="24"/>
          <w:szCs w:val="24"/>
          <w:rtl/>
        </w:rPr>
        <w:t>לפני ו</w:t>
      </w:r>
      <w:r>
        <w:rPr>
          <w:rFonts w:ascii="David" w:hAnsi="David" w:cs="David" w:hint="cs"/>
          <w:sz w:val="24"/>
          <w:szCs w:val="24"/>
          <w:rtl/>
        </w:rPr>
        <w:t>מאחורי המושגים;</w:t>
      </w:r>
      <w:r w:rsidR="00C4071E">
        <w:rPr>
          <w:rFonts w:ascii="David" w:hAnsi="David" w:cs="David" w:hint="cs"/>
          <w:sz w:val="24"/>
          <w:szCs w:val="24"/>
          <w:rtl/>
        </w:rPr>
        <w:t xml:space="preserve"> ובאופן רחב יותר, פרטיות מבוסס על ההנחה</w:t>
      </w:r>
      <w:r>
        <w:rPr>
          <w:rFonts w:ascii="David" w:hAnsi="David" w:cs="David" w:hint="cs"/>
          <w:sz w:val="24"/>
          <w:szCs w:val="24"/>
          <w:rtl/>
        </w:rPr>
        <w:t xml:space="preserve"> ש</w:t>
      </w:r>
      <w:r w:rsidR="00C4071E">
        <w:rPr>
          <w:rFonts w:ascii="David" w:hAnsi="David" w:cs="David" w:hint="cs"/>
          <w:sz w:val="24"/>
          <w:szCs w:val="24"/>
          <w:rtl/>
        </w:rPr>
        <w:t>בני</w:t>
      </w:r>
      <w:r>
        <w:rPr>
          <w:rFonts w:ascii="David" w:hAnsi="David" w:cs="David" w:hint="cs"/>
          <w:sz w:val="24"/>
          <w:szCs w:val="24"/>
          <w:rtl/>
        </w:rPr>
        <w:t xml:space="preserve"> אדם </w:t>
      </w:r>
      <w:r w:rsidR="00C4071E">
        <w:rPr>
          <w:rFonts w:ascii="David" w:hAnsi="David" w:cs="David" w:hint="cs"/>
          <w:sz w:val="24"/>
          <w:szCs w:val="24"/>
          <w:rtl/>
        </w:rPr>
        <w:t xml:space="preserve">הם יצורים </w:t>
      </w:r>
      <w:r>
        <w:rPr>
          <w:rFonts w:ascii="David" w:hAnsi="David" w:cs="David" w:hint="cs"/>
          <w:sz w:val="24"/>
          <w:szCs w:val="24"/>
          <w:rtl/>
        </w:rPr>
        <w:t>שאי אפשר למצות</w:t>
      </w:r>
      <w:r w:rsidR="00C4071E">
        <w:rPr>
          <w:rFonts w:ascii="David" w:hAnsi="David" w:cs="David" w:hint="cs"/>
          <w:sz w:val="24"/>
          <w:szCs w:val="24"/>
          <w:rtl/>
        </w:rPr>
        <w:t>ם</w:t>
      </w:r>
      <w:r>
        <w:rPr>
          <w:rFonts w:ascii="David" w:hAnsi="David" w:cs="David" w:hint="cs"/>
          <w:sz w:val="24"/>
          <w:szCs w:val="24"/>
          <w:rtl/>
        </w:rPr>
        <w:t xml:space="preserve"> בהגדרות כמותיות או איכותיות.</w:t>
      </w:r>
      <w:r w:rsidR="00864145">
        <w:rPr>
          <w:rFonts w:ascii="David" w:hAnsi="David" w:cs="David" w:hint="cs"/>
          <w:sz w:val="24"/>
          <w:szCs w:val="24"/>
          <w:rtl/>
        </w:rPr>
        <w:t xml:space="preserve"> בניגוד לכך, אנו מוצאים אצל אפלטון תפיסה שבה האדם הפרטי הוא צל</w:t>
      </w:r>
      <w:r>
        <w:rPr>
          <w:rFonts w:ascii="David" w:hAnsi="David" w:cs="David" w:hint="cs"/>
          <w:sz w:val="24"/>
          <w:szCs w:val="24"/>
          <w:rtl/>
        </w:rPr>
        <w:t xml:space="preserve"> </w:t>
      </w:r>
      <w:r w:rsidR="00864145">
        <w:rPr>
          <w:rFonts w:ascii="David" w:hAnsi="David" w:cs="David" w:hint="cs"/>
          <w:sz w:val="24"/>
          <w:szCs w:val="24"/>
          <w:rtl/>
        </w:rPr>
        <w:t>של רעיון מופשט.</w:t>
      </w:r>
      <w:r w:rsidR="00864145">
        <w:rPr>
          <w:rStyle w:val="FootnoteReference"/>
          <w:rFonts w:ascii="David" w:hAnsi="David" w:cs="David"/>
          <w:sz w:val="24"/>
          <w:szCs w:val="24"/>
          <w:rtl/>
        </w:rPr>
        <w:footnoteReference w:id="2"/>
      </w:r>
      <w:r w:rsidR="00864145">
        <w:rPr>
          <w:rFonts w:ascii="David" w:hAnsi="David" w:cs="David" w:hint="cs"/>
          <w:sz w:val="24"/>
          <w:szCs w:val="24"/>
          <w:rtl/>
        </w:rPr>
        <w:t xml:space="preserve"> </w:t>
      </w:r>
      <w:r>
        <w:rPr>
          <w:rFonts w:ascii="David" w:hAnsi="David" w:cs="David" w:hint="cs"/>
          <w:sz w:val="24"/>
          <w:szCs w:val="24"/>
          <w:rtl/>
        </w:rPr>
        <w:t>המאגיה כנגדה יוצא המקרא הניחה שלא רק האדם הוא נתון למניפולציה כזו, אלא גם האל</w:t>
      </w:r>
      <w:r w:rsidR="00BF01C0">
        <w:rPr>
          <w:rFonts w:ascii="David" w:hAnsi="David" w:cs="David" w:hint="cs"/>
          <w:sz w:val="24"/>
          <w:szCs w:val="24"/>
          <w:rtl/>
        </w:rPr>
        <w:t xml:space="preserve">. </w:t>
      </w:r>
      <w:r w:rsidR="00C4071E">
        <w:rPr>
          <w:rFonts w:ascii="David" w:hAnsi="David" w:cs="David" w:hint="cs"/>
          <w:sz w:val="24"/>
          <w:szCs w:val="24"/>
          <w:rtl/>
        </w:rPr>
        <w:t xml:space="preserve">בניגוד לכך, </w:t>
      </w:r>
      <w:r w:rsidR="00BF01C0">
        <w:rPr>
          <w:rFonts w:ascii="David" w:hAnsi="David" w:cs="David" w:hint="cs"/>
          <w:sz w:val="24"/>
          <w:szCs w:val="24"/>
          <w:rtl/>
        </w:rPr>
        <w:t xml:space="preserve">בתנ"ך יש </w:t>
      </w:r>
      <w:r w:rsidR="00580697">
        <w:rPr>
          <w:rFonts w:ascii="David" w:hAnsi="David" w:cs="David" w:hint="cs"/>
          <w:sz w:val="24"/>
          <w:szCs w:val="24"/>
          <w:rtl/>
        </w:rPr>
        <w:t xml:space="preserve">לאל </w:t>
      </w:r>
      <w:r w:rsidR="00BF01C0">
        <w:rPr>
          <w:rFonts w:ascii="David" w:hAnsi="David" w:cs="David" w:hint="cs"/>
          <w:sz w:val="24"/>
          <w:szCs w:val="24"/>
          <w:rtl/>
        </w:rPr>
        <w:t xml:space="preserve">שם פרטי </w:t>
      </w:r>
      <w:r w:rsidR="00BF01C0">
        <w:rPr>
          <w:rFonts w:ascii="David" w:hAnsi="David" w:cs="David"/>
          <w:sz w:val="24"/>
          <w:szCs w:val="24"/>
          <w:rtl/>
        </w:rPr>
        <w:t>–</w:t>
      </w:r>
      <w:r w:rsidR="00BF01C0">
        <w:rPr>
          <w:rFonts w:ascii="David" w:hAnsi="David" w:cs="David" w:hint="cs"/>
          <w:sz w:val="24"/>
          <w:szCs w:val="24"/>
          <w:rtl/>
        </w:rPr>
        <w:t xml:space="preserve"> שם ה'; בהתאם לכך, גם עליו, כמו על האדם, חלה חוסר היכולת 'לסחוט' אותו לתוך הגדרה גנרית</w:t>
      </w:r>
      <w:r w:rsidR="002563EA">
        <w:rPr>
          <w:rFonts w:ascii="David" w:hAnsi="David" w:cs="David" w:hint="cs"/>
          <w:sz w:val="24"/>
          <w:szCs w:val="24"/>
          <w:rtl/>
        </w:rPr>
        <w:t>, 'מדעית' או שיטתית</w:t>
      </w:r>
      <w:r w:rsidR="00BF01C0">
        <w:rPr>
          <w:rFonts w:ascii="David" w:hAnsi="David" w:cs="David" w:hint="cs"/>
          <w:sz w:val="24"/>
          <w:szCs w:val="24"/>
          <w:rtl/>
        </w:rPr>
        <w:t>.</w:t>
      </w:r>
      <w:r w:rsidR="00864145">
        <w:rPr>
          <w:rFonts w:ascii="David" w:hAnsi="David" w:cs="David" w:hint="cs"/>
          <w:sz w:val="24"/>
          <w:szCs w:val="24"/>
          <w:rtl/>
        </w:rPr>
        <w:t xml:space="preserve"> מטעם זה, </w:t>
      </w:r>
      <w:r w:rsidR="00580697">
        <w:rPr>
          <w:rFonts w:ascii="David" w:hAnsi="David" w:cs="David" w:hint="cs"/>
          <w:sz w:val="24"/>
          <w:szCs w:val="24"/>
          <w:rtl/>
        </w:rPr>
        <w:t>בין היתר</w:t>
      </w:r>
      <w:r w:rsidR="00864145">
        <w:rPr>
          <w:rFonts w:ascii="David" w:hAnsi="David" w:cs="David" w:hint="cs"/>
          <w:sz w:val="24"/>
          <w:szCs w:val="24"/>
          <w:rtl/>
        </w:rPr>
        <w:t>, אין המקרא עוסק רבות בציווי על הרגש והמחשבה</w:t>
      </w:r>
      <w:r w:rsidR="00580697">
        <w:rPr>
          <w:rFonts w:ascii="David" w:hAnsi="David" w:cs="David" w:hint="cs"/>
          <w:sz w:val="24"/>
          <w:szCs w:val="24"/>
          <w:rtl/>
        </w:rPr>
        <w:t xml:space="preserve"> ('רשות היחיד של התודעה', בלשון ישעיהו ליבוביץ), </w:t>
      </w:r>
      <w:r w:rsidR="00864145">
        <w:rPr>
          <w:rFonts w:ascii="David" w:hAnsi="David" w:cs="David" w:hint="cs"/>
          <w:sz w:val="24"/>
          <w:szCs w:val="24"/>
          <w:rtl/>
        </w:rPr>
        <w:t>אלא על המעשה.</w:t>
      </w:r>
      <w:r w:rsidR="00580697">
        <w:rPr>
          <w:rFonts w:ascii="David" w:hAnsi="David" w:cs="David" w:hint="cs"/>
          <w:sz w:val="24"/>
          <w:szCs w:val="24"/>
          <w:rtl/>
        </w:rPr>
        <w:t xml:space="preserve"> </w:t>
      </w:r>
    </w:p>
    <w:p w14:paraId="73A97A4D" w14:textId="77777777" w:rsidR="00DF6075" w:rsidRDefault="00755F37" w:rsidP="00DF6075">
      <w:pPr>
        <w:bidi/>
        <w:spacing w:line="360" w:lineRule="auto"/>
        <w:jc w:val="both"/>
        <w:rPr>
          <w:rFonts w:ascii="David" w:hAnsi="David" w:cs="David"/>
          <w:sz w:val="24"/>
          <w:szCs w:val="24"/>
          <w:rtl/>
        </w:rPr>
      </w:pPr>
      <w:r>
        <w:rPr>
          <w:rFonts w:ascii="David" w:hAnsi="David" w:cs="David" w:hint="cs"/>
          <w:sz w:val="24"/>
          <w:szCs w:val="24"/>
          <w:rtl/>
        </w:rPr>
        <w:t>הסגולה</w:t>
      </w:r>
      <w:r w:rsidR="005F4462">
        <w:rPr>
          <w:rFonts w:ascii="David" w:hAnsi="David" w:cs="David" w:hint="cs"/>
          <w:sz w:val="24"/>
          <w:szCs w:val="24"/>
          <w:rtl/>
        </w:rPr>
        <w:t xml:space="preserve"> </w:t>
      </w:r>
      <w:r>
        <w:rPr>
          <w:rFonts w:ascii="David" w:hAnsi="David" w:cs="David" w:hint="cs"/>
          <w:sz w:val="24"/>
          <w:szCs w:val="24"/>
          <w:rtl/>
        </w:rPr>
        <w:t>ה</w:t>
      </w:r>
      <w:r w:rsidR="005F4462">
        <w:rPr>
          <w:rFonts w:ascii="David" w:hAnsi="David" w:cs="David" w:hint="cs"/>
          <w:sz w:val="24"/>
          <w:szCs w:val="24"/>
          <w:rtl/>
        </w:rPr>
        <w:t xml:space="preserve">מוסרית </w:t>
      </w:r>
      <w:r w:rsidR="001140A3">
        <w:rPr>
          <w:rFonts w:ascii="David" w:hAnsi="David" w:cs="David" w:hint="cs"/>
          <w:sz w:val="24"/>
          <w:szCs w:val="24"/>
          <w:rtl/>
        </w:rPr>
        <w:t>של צנעת הפרט</w:t>
      </w:r>
      <w:r>
        <w:rPr>
          <w:rFonts w:ascii="David" w:hAnsi="David" w:cs="David" w:hint="cs"/>
          <w:sz w:val="24"/>
          <w:szCs w:val="24"/>
          <w:rtl/>
        </w:rPr>
        <w:t xml:space="preserve"> ויחס הכבוד אליה</w:t>
      </w:r>
      <w:r w:rsidR="002563EA">
        <w:rPr>
          <w:rFonts w:ascii="David" w:hAnsi="David" w:cs="David" w:hint="cs"/>
          <w:sz w:val="24"/>
          <w:szCs w:val="24"/>
          <w:rtl/>
        </w:rPr>
        <w:t xml:space="preserve"> משקפים יחס כבוד מקביל לפרטיותו של האדם, לכך שאסור לפלוש ללא </w:t>
      </w:r>
      <w:r w:rsidR="003C0C07">
        <w:rPr>
          <w:rFonts w:ascii="David" w:hAnsi="David" w:cs="David" w:hint="cs"/>
          <w:sz w:val="24"/>
          <w:szCs w:val="24"/>
          <w:rtl/>
        </w:rPr>
        <w:t>טעם הצדקה</w:t>
      </w:r>
      <w:r w:rsidR="002563EA">
        <w:rPr>
          <w:rFonts w:ascii="David" w:hAnsi="David" w:cs="David" w:hint="cs"/>
          <w:sz w:val="24"/>
          <w:szCs w:val="24"/>
          <w:rtl/>
        </w:rPr>
        <w:t xml:space="preserve"> לתחומו הפרטי</w:t>
      </w:r>
      <w:r>
        <w:rPr>
          <w:rFonts w:ascii="David" w:hAnsi="David" w:cs="David" w:hint="cs"/>
          <w:sz w:val="24"/>
          <w:szCs w:val="24"/>
          <w:rtl/>
        </w:rPr>
        <w:t>.</w:t>
      </w:r>
      <w:r w:rsidR="002563EA">
        <w:rPr>
          <w:rStyle w:val="FootnoteReference"/>
          <w:rFonts w:ascii="David" w:hAnsi="David" w:cs="David"/>
          <w:sz w:val="24"/>
          <w:szCs w:val="24"/>
          <w:rtl/>
        </w:rPr>
        <w:footnoteReference w:id="3"/>
      </w:r>
      <w:r w:rsidR="005F4462">
        <w:rPr>
          <w:rFonts w:ascii="David" w:hAnsi="David" w:cs="David" w:hint="cs"/>
          <w:sz w:val="24"/>
          <w:szCs w:val="24"/>
          <w:rtl/>
        </w:rPr>
        <w:t xml:space="preserve"> </w:t>
      </w:r>
      <w:r w:rsidR="003C0C07">
        <w:rPr>
          <w:rFonts w:ascii="David" w:hAnsi="David" w:cs="David" w:hint="cs"/>
          <w:sz w:val="24"/>
          <w:szCs w:val="24"/>
          <w:rtl/>
        </w:rPr>
        <w:t>צנעת הפרט</w:t>
      </w:r>
      <w:r>
        <w:rPr>
          <w:rFonts w:ascii="David" w:hAnsi="David" w:cs="David" w:hint="cs"/>
          <w:sz w:val="24"/>
          <w:szCs w:val="24"/>
          <w:rtl/>
        </w:rPr>
        <w:t xml:space="preserve"> </w:t>
      </w:r>
      <w:r w:rsidR="005F4462">
        <w:rPr>
          <w:rFonts w:ascii="David" w:hAnsi="David" w:cs="David" w:hint="cs"/>
          <w:sz w:val="24"/>
          <w:szCs w:val="24"/>
          <w:rtl/>
        </w:rPr>
        <w:t>קיב</w:t>
      </w:r>
      <w:r>
        <w:rPr>
          <w:rFonts w:ascii="David" w:hAnsi="David" w:cs="David" w:hint="cs"/>
          <w:sz w:val="24"/>
          <w:szCs w:val="24"/>
          <w:rtl/>
        </w:rPr>
        <w:t>ל</w:t>
      </w:r>
      <w:r w:rsidR="003C0C07">
        <w:rPr>
          <w:rFonts w:ascii="David" w:hAnsi="David" w:cs="David" w:hint="cs"/>
          <w:sz w:val="24"/>
          <w:szCs w:val="24"/>
          <w:rtl/>
        </w:rPr>
        <w:t>ה</w:t>
      </w:r>
      <w:r w:rsidR="005F4462">
        <w:rPr>
          <w:rFonts w:ascii="David" w:hAnsi="David" w:cs="David" w:hint="cs"/>
          <w:sz w:val="24"/>
          <w:szCs w:val="24"/>
          <w:rtl/>
        </w:rPr>
        <w:t xml:space="preserve"> ביטוי הלכתי</w:t>
      </w:r>
      <w:r w:rsidR="001140A3">
        <w:rPr>
          <w:rFonts w:ascii="David" w:hAnsi="David" w:cs="David" w:hint="cs"/>
          <w:sz w:val="24"/>
          <w:szCs w:val="24"/>
          <w:rtl/>
        </w:rPr>
        <w:t xml:space="preserve"> בימי המשנה</w:t>
      </w:r>
      <w:r>
        <w:rPr>
          <w:rFonts w:ascii="David" w:hAnsi="David" w:cs="David" w:hint="cs"/>
          <w:sz w:val="24"/>
          <w:szCs w:val="24"/>
          <w:rtl/>
        </w:rPr>
        <w:t xml:space="preserve"> בהקשרים </w:t>
      </w:r>
      <w:r w:rsidR="003C0C07">
        <w:rPr>
          <w:rFonts w:ascii="David" w:hAnsi="David" w:cs="David" w:hint="cs"/>
          <w:sz w:val="24"/>
          <w:szCs w:val="24"/>
          <w:rtl/>
        </w:rPr>
        <w:t>של דיני שכנות</w:t>
      </w:r>
      <w:r w:rsidR="005F4462">
        <w:rPr>
          <w:rFonts w:ascii="David" w:hAnsi="David" w:cs="David" w:hint="cs"/>
          <w:sz w:val="24"/>
          <w:szCs w:val="24"/>
          <w:rtl/>
        </w:rPr>
        <w:t>:</w:t>
      </w:r>
      <w:r w:rsidR="005F4462" w:rsidRPr="005F4462">
        <w:rPr>
          <w:rtl/>
        </w:rPr>
        <w:t xml:space="preserve"> </w:t>
      </w:r>
      <w:r w:rsidR="005F4462">
        <w:rPr>
          <w:rFonts w:ascii="David" w:hAnsi="David" w:cs="David" w:hint="cs"/>
          <w:sz w:val="24"/>
          <w:szCs w:val="24"/>
          <w:rtl/>
        </w:rPr>
        <w:t>"ל</w:t>
      </w:r>
      <w:r w:rsidR="005F4462" w:rsidRPr="005F4462">
        <w:rPr>
          <w:rFonts w:ascii="David" w:hAnsi="David" w:cs="David"/>
          <w:sz w:val="24"/>
          <w:szCs w:val="24"/>
          <w:rtl/>
        </w:rPr>
        <w:t>א יפתח אדם חלונותיו לחצר השותפין... לא יפתח אדם לחצר השותפין פתח כנגד פתח וחלון כנגד חלון" (משנה בבא בתרא ג, ז).</w:t>
      </w:r>
      <w:r w:rsidR="005F4462">
        <w:rPr>
          <w:rFonts w:ascii="David" w:hAnsi="David" w:cs="David" w:hint="cs"/>
          <w:sz w:val="24"/>
          <w:szCs w:val="24"/>
          <w:rtl/>
        </w:rPr>
        <w:t xml:space="preserve"> כלומר, פתיחה של חלון אל חצר משותפת אסורה אם היא פוגעת בפרטיותם של השכנים. </w:t>
      </w:r>
      <w:r w:rsidR="003C0C07">
        <w:rPr>
          <w:rFonts w:ascii="David" w:hAnsi="David" w:cs="David" w:hint="cs"/>
          <w:sz w:val="24"/>
          <w:szCs w:val="24"/>
          <w:rtl/>
        </w:rPr>
        <w:t>ה</w:t>
      </w:r>
      <w:r w:rsidR="005F4462">
        <w:rPr>
          <w:rFonts w:ascii="David" w:hAnsi="David" w:cs="David" w:hint="cs"/>
          <w:sz w:val="24"/>
          <w:szCs w:val="24"/>
          <w:rtl/>
        </w:rPr>
        <w:t xml:space="preserve">פגיעה </w:t>
      </w:r>
      <w:r w:rsidR="003C0C07">
        <w:rPr>
          <w:rFonts w:ascii="David" w:hAnsi="David" w:cs="David" w:hint="cs"/>
          <w:sz w:val="24"/>
          <w:szCs w:val="24"/>
          <w:rtl/>
        </w:rPr>
        <w:t>בצנעת הפרט מגולמת</w:t>
      </w:r>
      <w:r w:rsidR="005F4462">
        <w:rPr>
          <w:rFonts w:ascii="David" w:hAnsi="David" w:cs="David" w:hint="cs"/>
          <w:sz w:val="24"/>
          <w:szCs w:val="24"/>
          <w:rtl/>
        </w:rPr>
        <w:t xml:space="preserve"> </w:t>
      </w:r>
      <w:r w:rsidR="003C0C07">
        <w:rPr>
          <w:rFonts w:ascii="David" w:hAnsi="David" w:cs="David" w:hint="cs"/>
          <w:sz w:val="24"/>
          <w:szCs w:val="24"/>
          <w:rtl/>
        </w:rPr>
        <w:t xml:space="preserve">בהלכה </w:t>
      </w:r>
      <w:r w:rsidR="005F4462">
        <w:rPr>
          <w:rFonts w:ascii="David" w:hAnsi="David" w:cs="David" w:hint="cs"/>
          <w:sz w:val="24"/>
          <w:szCs w:val="24"/>
          <w:rtl/>
        </w:rPr>
        <w:t>במושג 'היזק ראיה'</w:t>
      </w:r>
      <w:r w:rsidR="00E12DC2">
        <w:rPr>
          <w:rFonts w:ascii="David" w:hAnsi="David" w:cs="David" w:hint="cs"/>
          <w:sz w:val="24"/>
          <w:szCs w:val="24"/>
          <w:rtl/>
        </w:rPr>
        <w:t>,</w:t>
      </w:r>
      <w:r w:rsidR="005F4462">
        <w:rPr>
          <w:rFonts w:ascii="David" w:hAnsi="David" w:cs="David" w:hint="cs"/>
          <w:sz w:val="24"/>
          <w:szCs w:val="24"/>
          <w:rtl/>
        </w:rPr>
        <w:t xml:space="preserve"> </w:t>
      </w:r>
      <w:r w:rsidR="00E12DC2">
        <w:rPr>
          <w:rFonts w:ascii="David" w:hAnsi="David" w:cs="David" w:hint="cs"/>
          <w:sz w:val="24"/>
          <w:szCs w:val="24"/>
          <w:rtl/>
        </w:rPr>
        <w:t>ה</w:t>
      </w:r>
      <w:r w:rsidR="005F4462">
        <w:rPr>
          <w:rFonts w:ascii="David" w:hAnsi="David" w:cs="David" w:hint="cs"/>
          <w:sz w:val="24"/>
          <w:szCs w:val="24"/>
          <w:rtl/>
        </w:rPr>
        <w:t xml:space="preserve">מניח כי </w:t>
      </w:r>
      <w:r w:rsidR="00E12DC2">
        <w:rPr>
          <w:rFonts w:ascii="David" w:hAnsi="David" w:cs="David" w:hint="cs"/>
          <w:sz w:val="24"/>
          <w:szCs w:val="24"/>
          <w:rtl/>
        </w:rPr>
        <w:t xml:space="preserve">פלישה ויזואלית לרשותו של הזולת </w:t>
      </w:r>
      <w:r w:rsidR="003C0C07">
        <w:rPr>
          <w:rFonts w:ascii="David" w:hAnsi="David" w:cs="David" w:hint="cs"/>
          <w:sz w:val="24"/>
          <w:szCs w:val="24"/>
          <w:rtl/>
        </w:rPr>
        <w:t>פוגעת</w:t>
      </w:r>
      <w:r w:rsidR="00E12DC2">
        <w:rPr>
          <w:rFonts w:ascii="David" w:hAnsi="David" w:cs="David" w:hint="cs"/>
          <w:sz w:val="24"/>
          <w:szCs w:val="24"/>
          <w:rtl/>
        </w:rPr>
        <w:t xml:space="preserve"> בו. </w:t>
      </w:r>
      <w:r w:rsidR="00CF28C7">
        <w:rPr>
          <w:rFonts w:ascii="David" w:hAnsi="David" w:cs="David" w:hint="cs"/>
          <w:sz w:val="24"/>
          <w:szCs w:val="24"/>
          <w:rtl/>
        </w:rPr>
        <w:t>לא תמיד אפשר להבחין בבירור בין הסגת גבול פיסית</w:t>
      </w:r>
      <w:r w:rsidR="00E06AC9">
        <w:rPr>
          <w:rStyle w:val="FootnoteReference"/>
          <w:rFonts w:ascii="David" w:hAnsi="David" w:cs="David"/>
          <w:sz w:val="24"/>
          <w:szCs w:val="24"/>
          <w:rtl/>
        </w:rPr>
        <w:footnoteReference w:id="4"/>
      </w:r>
      <w:r w:rsidR="00CF28C7">
        <w:rPr>
          <w:rFonts w:ascii="David" w:hAnsi="David" w:cs="David" w:hint="cs"/>
          <w:sz w:val="24"/>
          <w:szCs w:val="24"/>
          <w:rtl/>
        </w:rPr>
        <w:t xml:space="preserve"> לבין פלישה ויזואלית שעניינה רק מבט. נחום רקוב</w:t>
      </w:r>
      <w:r w:rsidR="00286CB8">
        <w:rPr>
          <w:rFonts w:ascii="David" w:hAnsi="David" w:cs="David" w:hint="cs"/>
          <w:sz w:val="24"/>
          <w:szCs w:val="24"/>
          <w:rtl/>
        </w:rPr>
        <w:t>ר</w:t>
      </w:r>
      <w:r w:rsidR="00CF28C7">
        <w:rPr>
          <w:rFonts w:ascii="David" w:hAnsi="David" w:cs="David" w:hint="cs"/>
          <w:sz w:val="24"/>
          <w:szCs w:val="24"/>
          <w:rtl/>
        </w:rPr>
        <w:t xml:space="preserve"> </w:t>
      </w:r>
      <w:r w:rsidR="009369F3">
        <w:rPr>
          <w:rFonts w:ascii="David" w:hAnsi="David" w:cs="David" w:hint="cs"/>
          <w:sz w:val="24"/>
          <w:szCs w:val="24"/>
          <w:rtl/>
        </w:rPr>
        <w:t>הקדיש ספר שלם ל</w:t>
      </w:r>
      <w:r w:rsidR="00CF28C7">
        <w:rPr>
          <w:rFonts w:ascii="David" w:hAnsi="David" w:cs="David" w:hint="cs"/>
          <w:sz w:val="24"/>
          <w:szCs w:val="24"/>
          <w:rtl/>
        </w:rPr>
        <w:t xml:space="preserve">סוגיה </w:t>
      </w:r>
      <w:r w:rsidR="003C0C07">
        <w:rPr>
          <w:rFonts w:ascii="David" w:hAnsi="David" w:cs="David" w:hint="cs"/>
          <w:sz w:val="24"/>
          <w:szCs w:val="24"/>
          <w:rtl/>
        </w:rPr>
        <w:t>של</w:t>
      </w:r>
      <w:r w:rsidR="00286CB8">
        <w:rPr>
          <w:rFonts w:ascii="David" w:hAnsi="David" w:cs="David" w:hint="cs"/>
          <w:sz w:val="24"/>
          <w:szCs w:val="24"/>
          <w:rtl/>
        </w:rPr>
        <w:t xml:space="preserve"> צנעת הפרט במשפט הע</w:t>
      </w:r>
      <w:r w:rsidR="009369F3">
        <w:rPr>
          <w:rFonts w:ascii="David" w:hAnsi="David" w:cs="David" w:hint="cs"/>
          <w:sz w:val="24"/>
          <w:szCs w:val="24"/>
          <w:rtl/>
        </w:rPr>
        <w:t>ברי</w:t>
      </w:r>
      <w:r w:rsidR="00286CB8">
        <w:rPr>
          <w:rFonts w:ascii="David" w:hAnsi="David" w:cs="David" w:hint="cs"/>
          <w:sz w:val="24"/>
          <w:szCs w:val="24"/>
          <w:rtl/>
        </w:rPr>
        <w:t xml:space="preserve"> </w:t>
      </w:r>
      <w:r w:rsidR="00E06AC9">
        <w:rPr>
          <w:rFonts w:ascii="David" w:hAnsi="David" w:cs="David" w:hint="cs"/>
          <w:sz w:val="24"/>
          <w:szCs w:val="24"/>
          <w:rtl/>
        </w:rPr>
        <w:t>ו</w:t>
      </w:r>
      <w:r w:rsidR="009369F3">
        <w:rPr>
          <w:rFonts w:ascii="David" w:hAnsi="David" w:cs="David" w:hint="cs"/>
          <w:sz w:val="24"/>
          <w:szCs w:val="24"/>
          <w:rtl/>
        </w:rPr>
        <w:t>ל</w:t>
      </w:r>
      <w:r w:rsidR="00E06AC9">
        <w:rPr>
          <w:rFonts w:ascii="David" w:hAnsi="David" w:cs="David" w:hint="cs"/>
          <w:sz w:val="24"/>
          <w:szCs w:val="24"/>
          <w:rtl/>
        </w:rPr>
        <w:t>עקרונות המוסריים לגבי</w:t>
      </w:r>
      <w:r w:rsidR="00286CB8">
        <w:rPr>
          <w:rFonts w:ascii="David" w:hAnsi="David" w:cs="David" w:hint="cs"/>
          <w:sz w:val="24"/>
          <w:szCs w:val="24"/>
          <w:rtl/>
        </w:rPr>
        <w:t xml:space="preserve">ה </w:t>
      </w:r>
      <w:r w:rsidR="00E06AC9">
        <w:rPr>
          <w:rFonts w:ascii="David" w:hAnsi="David" w:cs="David" w:hint="cs"/>
          <w:sz w:val="24"/>
          <w:szCs w:val="24"/>
          <w:rtl/>
        </w:rPr>
        <w:t xml:space="preserve">במשפט העברי. לדבריו, </w:t>
      </w:r>
    </w:p>
    <w:p w14:paraId="47C5CF10" w14:textId="77777777" w:rsidR="00DF6075" w:rsidRDefault="00E06AC9" w:rsidP="00286CB8">
      <w:pPr>
        <w:bidi/>
        <w:spacing w:line="360" w:lineRule="auto"/>
        <w:ind w:left="720"/>
        <w:jc w:val="both"/>
        <w:rPr>
          <w:rFonts w:ascii="David" w:hAnsi="David" w:cs="David"/>
          <w:sz w:val="24"/>
          <w:szCs w:val="24"/>
          <w:rtl/>
        </w:rPr>
      </w:pPr>
      <w:r>
        <w:rPr>
          <w:rFonts w:ascii="David" w:hAnsi="David" w:cs="David" w:hint="cs"/>
          <w:sz w:val="24"/>
          <w:szCs w:val="24"/>
          <w:rtl/>
        </w:rPr>
        <w:t>מקורות המשפט העברי קדמו לעידן הטכנולוגי, ואפשר היה לחשוב שמשום כך לא נמצא בהם מענה לשאלות האופייניות לזמננו. ברם, מאחר שהמקורות היהודיים רגישים מאד לפגיעה באדם, נקבעו בהם כללים משפטיים האוסרים פגיעה לא רק ברכושו ובגופו של האדם, אלא גם בנפשו של האדם ואף בכבודו.</w:t>
      </w:r>
      <w:r w:rsidR="00286CB8">
        <w:rPr>
          <w:rStyle w:val="FootnoteReference"/>
          <w:rFonts w:ascii="David" w:hAnsi="David" w:cs="David"/>
          <w:sz w:val="24"/>
          <w:szCs w:val="24"/>
          <w:rtl/>
        </w:rPr>
        <w:footnoteReference w:id="5"/>
      </w:r>
      <w:r w:rsidR="001140A3">
        <w:rPr>
          <w:rFonts w:ascii="David" w:hAnsi="David" w:cs="David" w:hint="cs"/>
          <w:sz w:val="24"/>
          <w:szCs w:val="24"/>
          <w:rtl/>
        </w:rPr>
        <w:t xml:space="preserve"> </w:t>
      </w:r>
    </w:p>
    <w:p w14:paraId="0AA572A8" w14:textId="77777777" w:rsidR="00CF28C7" w:rsidRPr="005F4462" w:rsidRDefault="001140A3" w:rsidP="00F957A0">
      <w:pPr>
        <w:bidi/>
        <w:spacing w:line="360" w:lineRule="auto"/>
        <w:jc w:val="both"/>
        <w:rPr>
          <w:rFonts w:ascii="David" w:hAnsi="David" w:cs="David"/>
          <w:sz w:val="24"/>
          <w:szCs w:val="24"/>
          <w:rtl/>
        </w:rPr>
      </w:pPr>
      <w:r>
        <w:rPr>
          <w:rFonts w:ascii="David" w:hAnsi="David" w:cs="David" w:hint="cs"/>
          <w:sz w:val="24"/>
          <w:szCs w:val="24"/>
          <w:rtl/>
        </w:rPr>
        <w:t>כלומר, פגיעה בכבודו של אדם היא פגיעה ממשית בו.</w:t>
      </w:r>
      <w:r w:rsidR="00DF6075">
        <w:rPr>
          <w:rFonts w:ascii="David" w:hAnsi="David" w:cs="David" w:hint="cs"/>
          <w:sz w:val="24"/>
          <w:szCs w:val="24"/>
          <w:rtl/>
        </w:rPr>
        <w:t xml:space="preserve"> </w:t>
      </w:r>
      <w:r>
        <w:rPr>
          <w:rFonts w:ascii="David" w:hAnsi="David" w:cs="David" w:hint="cs"/>
          <w:sz w:val="24"/>
          <w:szCs w:val="24"/>
          <w:rtl/>
        </w:rPr>
        <w:t xml:space="preserve">מכאן </w:t>
      </w:r>
      <w:r w:rsidR="005B255A">
        <w:rPr>
          <w:rFonts w:ascii="David" w:hAnsi="David" w:cs="David" w:hint="cs"/>
          <w:sz w:val="24"/>
          <w:szCs w:val="24"/>
          <w:rtl/>
        </w:rPr>
        <w:t>אין</w:t>
      </w:r>
      <w:r>
        <w:rPr>
          <w:rFonts w:ascii="David" w:hAnsi="David" w:cs="David" w:hint="cs"/>
          <w:sz w:val="24"/>
          <w:szCs w:val="24"/>
          <w:rtl/>
        </w:rPr>
        <w:t xml:space="preserve"> נגזר, עם זאת, כי אסור לחלוק על הזולת, או להביע כל סוג של ביקורת. כאמור, </w:t>
      </w:r>
      <w:r w:rsidR="00286CB8">
        <w:rPr>
          <w:rFonts w:ascii="David" w:hAnsi="David" w:cs="David" w:hint="cs"/>
          <w:sz w:val="24"/>
          <w:szCs w:val="24"/>
          <w:rtl/>
        </w:rPr>
        <w:t xml:space="preserve">אין הכרח לקבל את </w:t>
      </w:r>
      <w:r>
        <w:rPr>
          <w:rFonts w:ascii="David" w:hAnsi="David" w:cs="David" w:hint="cs"/>
          <w:sz w:val="24"/>
          <w:szCs w:val="24"/>
          <w:rtl/>
        </w:rPr>
        <w:t>טענתו ההגיוגרפית של בלעם</w:t>
      </w:r>
      <w:r w:rsidR="00286CB8">
        <w:rPr>
          <w:rFonts w:ascii="David" w:hAnsi="David" w:cs="David" w:hint="cs"/>
          <w:sz w:val="24"/>
          <w:szCs w:val="24"/>
          <w:rtl/>
        </w:rPr>
        <w:t xml:space="preserve"> לגבי בני ישראל</w:t>
      </w:r>
      <w:r w:rsidR="009369F3">
        <w:rPr>
          <w:rFonts w:ascii="David" w:hAnsi="David" w:cs="David" w:hint="cs"/>
          <w:sz w:val="24"/>
          <w:szCs w:val="24"/>
          <w:rtl/>
        </w:rPr>
        <w:t>, ולא את פירושה הוולגרי בן זמננו המזהה 'תמיכה' עם אהדה עיוורת, והיעדר שיח או ביקורת</w:t>
      </w:r>
      <w:r w:rsidR="00F957A0">
        <w:rPr>
          <w:rFonts w:ascii="David" w:hAnsi="David" w:cs="David" w:hint="cs"/>
          <w:sz w:val="24"/>
          <w:szCs w:val="24"/>
          <w:rtl/>
        </w:rPr>
        <w:t>. אולם יש חשיבות רבה להכרה בנקודת מבטו</w:t>
      </w:r>
      <w:r w:rsidR="009369F3">
        <w:rPr>
          <w:rFonts w:ascii="David" w:hAnsi="David" w:cs="David" w:hint="cs"/>
          <w:sz w:val="24"/>
          <w:szCs w:val="24"/>
          <w:rtl/>
        </w:rPr>
        <w:t xml:space="preserve"> של בלעם</w:t>
      </w:r>
      <w:r w:rsidR="00F957A0">
        <w:rPr>
          <w:rFonts w:ascii="David" w:hAnsi="David" w:cs="David" w:hint="cs"/>
          <w:sz w:val="24"/>
          <w:szCs w:val="24"/>
          <w:rtl/>
        </w:rPr>
        <w:t>, כמבטאת 'חכמה בגויים'</w:t>
      </w:r>
      <w:r w:rsidR="009369F3">
        <w:rPr>
          <w:rFonts w:ascii="David" w:hAnsi="David" w:cs="David" w:hint="cs"/>
          <w:sz w:val="24"/>
          <w:szCs w:val="24"/>
          <w:rtl/>
        </w:rPr>
        <w:t xml:space="preserve"> שיש בה ערך רב</w:t>
      </w:r>
      <w:r w:rsidR="00F957A0">
        <w:rPr>
          <w:rFonts w:ascii="David" w:hAnsi="David" w:cs="David" w:hint="cs"/>
          <w:sz w:val="24"/>
          <w:szCs w:val="24"/>
          <w:rtl/>
        </w:rPr>
        <w:t xml:space="preserve">. </w:t>
      </w:r>
      <w:r w:rsidR="009369F3">
        <w:rPr>
          <w:rFonts w:ascii="David" w:hAnsi="David" w:cs="David" w:hint="cs"/>
          <w:sz w:val="24"/>
          <w:szCs w:val="24"/>
          <w:rtl/>
        </w:rPr>
        <w:t>יש לכך גם השלכה מכרעת לגבי הדיון במושג הפרטיות. שכן</w:t>
      </w:r>
      <w:r w:rsidR="00F957A0">
        <w:rPr>
          <w:rFonts w:ascii="David" w:hAnsi="David" w:cs="David" w:hint="cs"/>
          <w:sz w:val="24"/>
          <w:szCs w:val="24"/>
          <w:rtl/>
        </w:rPr>
        <w:t xml:space="preserve"> בעת הזאת, היכולת ליישם באופן נאות את </w:t>
      </w:r>
      <w:r w:rsidR="005F4462" w:rsidRPr="009369F3">
        <w:rPr>
          <w:rFonts w:ascii="David" w:hAnsi="David" w:cs="David"/>
          <w:b/>
          <w:bCs/>
          <w:sz w:val="24"/>
          <w:szCs w:val="24"/>
          <w:rtl/>
        </w:rPr>
        <w:t>חוק הגנת הפרטיות</w:t>
      </w:r>
      <w:r w:rsidR="005F4462" w:rsidRPr="005F4462">
        <w:rPr>
          <w:rFonts w:ascii="David" w:hAnsi="David" w:cs="David"/>
          <w:sz w:val="24"/>
          <w:szCs w:val="24"/>
          <w:rtl/>
        </w:rPr>
        <w:t>, התשמ"</w:t>
      </w:r>
      <w:r w:rsidR="00CE4761">
        <w:rPr>
          <w:rFonts w:ascii="David" w:hAnsi="David" w:cs="David" w:hint="cs"/>
          <w:sz w:val="24"/>
          <w:szCs w:val="24"/>
          <w:rtl/>
        </w:rPr>
        <w:t xml:space="preserve">א </w:t>
      </w:r>
      <w:r w:rsidR="005F4462">
        <w:rPr>
          <w:rFonts w:ascii="David" w:hAnsi="David" w:cs="David"/>
          <w:sz w:val="24"/>
          <w:szCs w:val="24"/>
        </w:rPr>
        <w:t>)</w:t>
      </w:r>
      <w:r w:rsidR="005F4462" w:rsidRPr="005F4462">
        <w:rPr>
          <w:rFonts w:ascii="David" w:hAnsi="David" w:cs="David"/>
          <w:sz w:val="24"/>
          <w:szCs w:val="24"/>
          <w:rtl/>
        </w:rPr>
        <w:t>1981</w:t>
      </w:r>
      <w:r w:rsidR="005F4462">
        <w:rPr>
          <w:rFonts w:ascii="David" w:hAnsi="David" w:cs="David"/>
          <w:sz w:val="24"/>
          <w:szCs w:val="24"/>
        </w:rPr>
        <w:t>(</w:t>
      </w:r>
      <w:r w:rsidR="009369F3">
        <w:rPr>
          <w:rFonts w:ascii="David" w:hAnsi="David" w:cs="David" w:hint="cs"/>
          <w:sz w:val="24"/>
          <w:szCs w:val="24"/>
          <w:rtl/>
        </w:rPr>
        <w:t xml:space="preserve"> של כנסת ישראל</w:t>
      </w:r>
      <w:r w:rsidR="00F957A0">
        <w:rPr>
          <w:rFonts w:ascii="David" w:hAnsi="David" w:cs="David" w:hint="cs"/>
          <w:sz w:val="24"/>
          <w:szCs w:val="24"/>
          <w:rtl/>
        </w:rPr>
        <w:t>, תלויה במידה מכרעת בתקנות הרגולציה של הגנת המידע (</w:t>
      </w:r>
      <w:r w:rsidR="00F957A0">
        <w:rPr>
          <w:rFonts w:ascii="David" w:hAnsi="David" w:cs="David" w:hint="cs"/>
          <w:sz w:val="24"/>
          <w:szCs w:val="24"/>
        </w:rPr>
        <w:t>GDPR</w:t>
      </w:r>
      <w:r w:rsidR="00F957A0">
        <w:rPr>
          <w:rFonts w:ascii="David" w:hAnsi="David" w:cs="David" w:hint="cs"/>
          <w:sz w:val="24"/>
          <w:szCs w:val="24"/>
          <w:rtl/>
        </w:rPr>
        <w:t xml:space="preserve">), שכידוע מקורן באיחוד האירופי. בלעדיהן, קשה לדמיין אפילו את פעולתה הבסיסית בישראל של הרשות להגנת הפרטיות. לסוגיית </w:t>
      </w:r>
      <w:r w:rsidR="00F957A0">
        <w:rPr>
          <w:rFonts w:ascii="David" w:hAnsi="David" w:cs="David" w:hint="cs"/>
          <w:sz w:val="24"/>
          <w:szCs w:val="24"/>
          <w:rtl/>
        </w:rPr>
        <w:lastRenderedPageBreak/>
        <w:t xml:space="preserve">הפרטיות יש קשת של השלכות הרות גורל, בתחום החינוך, המדיה, המשפט, </w:t>
      </w:r>
      <w:r w:rsidR="009369F3">
        <w:rPr>
          <w:rFonts w:ascii="David" w:hAnsi="David" w:cs="David" w:hint="cs"/>
          <w:sz w:val="24"/>
          <w:szCs w:val="24"/>
          <w:rtl/>
        </w:rPr>
        <w:t xml:space="preserve">הכלכלה, </w:t>
      </w:r>
      <w:r w:rsidR="00F957A0">
        <w:rPr>
          <w:rFonts w:ascii="David" w:hAnsi="David" w:cs="David" w:hint="cs"/>
          <w:sz w:val="24"/>
          <w:szCs w:val="24"/>
          <w:rtl/>
        </w:rPr>
        <w:t>ה</w:t>
      </w:r>
      <w:r w:rsidR="009369F3">
        <w:rPr>
          <w:rFonts w:ascii="David" w:hAnsi="David" w:cs="David" w:hint="cs"/>
          <w:sz w:val="24"/>
          <w:szCs w:val="24"/>
          <w:rtl/>
        </w:rPr>
        <w:t>בריאות</w:t>
      </w:r>
      <w:r w:rsidR="00F957A0">
        <w:rPr>
          <w:rFonts w:ascii="David" w:hAnsi="David" w:cs="David" w:hint="cs"/>
          <w:sz w:val="24"/>
          <w:szCs w:val="24"/>
          <w:rtl/>
        </w:rPr>
        <w:t>, ועוד.</w:t>
      </w:r>
      <w:r w:rsidR="00F957A0">
        <w:rPr>
          <w:rStyle w:val="FootnoteReference"/>
          <w:rFonts w:ascii="David" w:hAnsi="David" w:cs="David"/>
          <w:sz w:val="24"/>
          <w:szCs w:val="24"/>
          <w:rtl/>
        </w:rPr>
        <w:footnoteReference w:id="6"/>
      </w:r>
      <w:r w:rsidR="00F957A0">
        <w:rPr>
          <w:rFonts w:ascii="David" w:hAnsi="David" w:cs="David" w:hint="cs"/>
          <w:sz w:val="24"/>
          <w:szCs w:val="24"/>
          <w:rtl/>
        </w:rPr>
        <w:t xml:space="preserve"> לאור האמור לעיל, </w:t>
      </w:r>
      <w:r w:rsidR="00C4071E">
        <w:rPr>
          <w:rFonts w:ascii="David" w:hAnsi="David" w:cs="David" w:hint="cs"/>
          <w:sz w:val="24"/>
          <w:szCs w:val="24"/>
          <w:rtl/>
        </w:rPr>
        <w:t xml:space="preserve">נראה שדיונים משפטיים בנושא הפרטיות צריכים להידרש </w:t>
      </w:r>
      <w:r w:rsidR="009369F3">
        <w:rPr>
          <w:rFonts w:ascii="David" w:hAnsi="David" w:cs="David" w:hint="cs"/>
          <w:sz w:val="24"/>
          <w:szCs w:val="24"/>
          <w:rtl/>
        </w:rPr>
        <w:t xml:space="preserve">יותר </w:t>
      </w:r>
      <w:r w:rsidR="00C4071E">
        <w:rPr>
          <w:rFonts w:ascii="David" w:hAnsi="David" w:cs="David" w:hint="cs"/>
          <w:sz w:val="24"/>
          <w:szCs w:val="24"/>
          <w:rtl/>
        </w:rPr>
        <w:t xml:space="preserve">גם לפן האגדי, המטאפיסי, הפילוסופי, של הסוגיה. שכן הפקעת פרטיותו של אדם אינה מעשה המופקע ממשקעים וממטענים שכאלו. </w:t>
      </w:r>
      <w:r w:rsidR="009369F3">
        <w:rPr>
          <w:rFonts w:ascii="David" w:hAnsi="David" w:cs="David" w:hint="cs"/>
          <w:sz w:val="24"/>
          <w:szCs w:val="24"/>
          <w:rtl/>
        </w:rPr>
        <w:t>במקביל, ראוי יהיה לשמוע במדינת ישראל לא רק דיבורים סהרוריים על חידושה של 'מדינת הלכה' בסגנון דוד המלך, אלא שיח הלכתי פרגמטי לגבי האתגרים העצומים העומדים על הפרק בתחום הפרטיות, שהמסורת היהודית, על האוריינטציה ההומנית המצויה בה (כדברי רקובר) עשויה להוות לו השראה ותשתית ערכית.</w:t>
      </w:r>
    </w:p>
    <w:sectPr w:rsidR="00CF28C7" w:rsidRPr="005F44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BBD9D" w14:textId="77777777" w:rsidR="00E06AC9" w:rsidRDefault="00E06AC9" w:rsidP="00E06AC9">
      <w:pPr>
        <w:spacing w:after="0" w:line="240" w:lineRule="auto"/>
      </w:pPr>
      <w:r>
        <w:separator/>
      </w:r>
    </w:p>
  </w:endnote>
  <w:endnote w:type="continuationSeparator" w:id="0">
    <w:p w14:paraId="5A641E1B" w14:textId="77777777" w:rsidR="00E06AC9" w:rsidRDefault="00E06AC9" w:rsidP="00E06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C4258" w14:textId="77777777" w:rsidR="00E06AC9" w:rsidRDefault="00E06AC9" w:rsidP="00E06AC9">
      <w:pPr>
        <w:spacing w:after="0" w:line="240" w:lineRule="auto"/>
      </w:pPr>
      <w:r>
        <w:separator/>
      </w:r>
    </w:p>
  </w:footnote>
  <w:footnote w:type="continuationSeparator" w:id="0">
    <w:p w14:paraId="209FF0DD" w14:textId="77777777" w:rsidR="00E06AC9" w:rsidRDefault="00E06AC9" w:rsidP="00E06AC9">
      <w:pPr>
        <w:spacing w:after="0" w:line="240" w:lineRule="auto"/>
      </w:pPr>
      <w:r>
        <w:continuationSeparator/>
      </w:r>
    </w:p>
  </w:footnote>
  <w:footnote w:id="1">
    <w:p w14:paraId="3A7BD655" w14:textId="77777777" w:rsidR="00C4071E" w:rsidRPr="00DF6075" w:rsidRDefault="00C4071E" w:rsidP="00580697">
      <w:pPr>
        <w:pStyle w:val="FootnoteText"/>
        <w:bidi/>
        <w:spacing w:line="360" w:lineRule="auto"/>
        <w:jc w:val="both"/>
        <w:rPr>
          <w:rFonts w:ascii="David" w:hAnsi="David" w:cs="David"/>
          <w:rtl/>
        </w:rPr>
      </w:pPr>
      <w:r w:rsidRPr="00DF6075">
        <w:rPr>
          <w:rStyle w:val="FootnoteReference"/>
          <w:rFonts w:ascii="David" w:hAnsi="David" w:cs="David"/>
        </w:rPr>
        <w:footnoteRef/>
      </w:r>
      <w:r w:rsidRPr="00DF6075">
        <w:rPr>
          <w:rFonts w:ascii="David" w:hAnsi="David" w:cs="David"/>
        </w:rPr>
        <w:t xml:space="preserve"> </w:t>
      </w:r>
      <w:r w:rsidRPr="00DF6075">
        <w:rPr>
          <w:rFonts w:ascii="David" w:hAnsi="David" w:cs="David"/>
          <w:rtl/>
        </w:rPr>
        <w:t xml:space="preserve">הגיוגרפיה </w:t>
      </w:r>
      <w:r>
        <w:rPr>
          <w:rFonts w:ascii="David" w:hAnsi="David" w:cs="David" w:hint="cs"/>
          <w:rtl/>
        </w:rPr>
        <w:t xml:space="preserve">היא סוגה ספרותית שעניינה שבח או הערצת אנשים הנחשבים לקדושים. </w:t>
      </w:r>
      <w:r w:rsidRPr="00DF6075">
        <w:rPr>
          <w:rFonts w:ascii="David" w:hAnsi="David" w:cs="David"/>
          <w:rtl/>
        </w:rPr>
        <w:t xml:space="preserve">גיבוריה </w:t>
      </w:r>
      <w:r w:rsidR="00580697">
        <w:rPr>
          <w:rFonts w:ascii="David" w:hAnsi="David" w:cs="David" w:hint="cs"/>
          <w:rtl/>
        </w:rPr>
        <w:t>נחשבי</w:t>
      </w:r>
      <w:r w:rsidRPr="00DF6075">
        <w:rPr>
          <w:rFonts w:ascii="David" w:hAnsi="David" w:cs="David"/>
          <w:rtl/>
        </w:rPr>
        <w:t xml:space="preserve">ם </w:t>
      </w:r>
      <w:r w:rsidR="00580697">
        <w:rPr>
          <w:rFonts w:ascii="David" w:hAnsi="David" w:cs="David" w:hint="cs"/>
          <w:rtl/>
        </w:rPr>
        <w:t xml:space="preserve">למצויים </w:t>
      </w:r>
      <w:r w:rsidRPr="00DF6075">
        <w:rPr>
          <w:rFonts w:ascii="David" w:hAnsi="David" w:cs="David"/>
          <w:rtl/>
        </w:rPr>
        <w:t>מעל כל ביקורת,</w:t>
      </w:r>
      <w:r w:rsidR="00580697">
        <w:rPr>
          <w:rFonts w:ascii="David" w:hAnsi="David" w:cs="David" w:hint="cs"/>
          <w:rtl/>
        </w:rPr>
        <w:t xml:space="preserve"> ולפיכך ל</w:t>
      </w:r>
      <w:r w:rsidRPr="00DF6075">
        <w:rPr>
          <w:rFonts w:ascii="David" w:hAnsi="David" w:cs="David"/>
          <w:rtl/>
        </w:rPr>
        <w:t xml:space="preserve">חסינים מביקורת. </w:t>
      </w:r>
      <w:r>
        <w:rPr>
          <w:rFonts w:ascii="David" w:hAnsi="David" w:cs="David" w:hint="cs"/>
          <w:rtl/>
        </w:rPr>
        <w:t xml:space="preserve">מטבע הדברים, הגיוגרפיה מהסוג הזה היא רעיון דתי אטרקטיבי בעיני רודנים ושליטים החותרים להעניק לעצמם חסינות שכזו מפני הצדק והמשפט. </w:t>
      </w:r>
      <w:r w:rsidR="00580697">
        <w:rPr>
          <w:rFonts w:ascii="David" w:hAnsi="David" w:cs="David" w:hint="cs"/>
          <w:rtl/>
        </w:rPr>
        <w:t xml:space="preserve">מנגד, </w:t>
      </w:r>
      <w:r>
        <w:rPr>
          <w:rFonts w:ascii="David" w:hAnsi="David" w:cs="David" w:hint="cs"/>
          <w:rtl/>
        </w:rPr>
        <w:t xml:space="preserve">גישה </w:t>
      </w:r>
      <w:r w:rsidRPr="00DF6075">
        <w:rPr>
          <w:rFonts w:ascii="David" w:hAnsi="David" w:cs="David"/>
          <w:rtl/>
        </w:rPr>
        <w:t>פרגמטי</w:t>
      </w:r>
      <w:r>
        <w:rPr>
          <w:rFonts w:ascii="David" w:hAnsi="David" w:cs="David" w:hint="cs"/>
          <w:rtl/>
        </w:rPr>
        <w:t>ת</w:t>
      </w:r>
      <w:r w:rsidRPr="00DF6075">
        <w:rPr>
          <w:rFonts w:ascii="David" w:hAnsi="David" w:cs="David"/>
          <w:rtl/>
        </w:rPr>
        <w:t xml:space="preserve"> מבוסס</w:t>
      </w:r>
      <w:r>
        <w:rPr>
          <w:rFonts w:ascii="David" w:hAnsi="David" w:cs="David" w:hint="cs"/>
          <w:rtl/>
        </w:rPr>
        <w:t>ת</w:t>
      </w:r>
      <w:r w:rsidRPr="00DF6075">
        <w:rPr>
          <w:rFonts w:ascii="David" w:hAnsi="David" w:cs="David"/>
          <w:rtl/>
        </w:rPr>
        <w:t xml:space="preserve"> על רעיון הפליבליזם (</w:t>
      </w:r>
      <w:r w:rsidRPr="00DF6075">
        <w:rPr>
          <w:rFonts w:ascii="David" w:hAnsi="David" w:cs="David"/>
        </w:rPr>
        <w:t>fallibilism</w:t>
      </w:r>
      <w:r w:rsidRPr="00DF6075">
        <w:rPr>
          <w:rFonts w:ascii="David" w:hAnsi="David" w:cs="David"/>
          <w:rtl/>
        </w:rPr>
        <w:t>) – ההנחה שהאדם והידע האנושי הם מועדים לטעות. על הפרגמטיזם ומחשבת ישראל</w:t>
      </w:r>
      <w:r>
        <w:rPr>
          <w:rFonts w:ascii="David" w:hAnsi="David" w:cs="David" w:hint="cs"/>
          <w:rtl/>
        </w:rPr>
        <w:t xml:space="preserve"> הרחבתי בעבודת הדוקטור שלי ובכמה מאמרים שראו אור על בסיסה</w:t>
      </w:r>
      <w:r w:rsidRPr="00DF6075">
        <w:rPr>
          <w:rFonts w:ascii="David" w:hAnsi="David" w:cs="David"/>
          <w:rtl/>
        </w:rPr>
        <w:t>.</w:t>
      </w:r>
    </w:p>
  </w:footnote>
  <w:footnote w:id="2">
    <w:p w14:paraId="3BDA5A7D" w14:textId="77777777" w:rsidR="00286CB8" w:rsidRPr="00286CB8" w:rsidRDefault="00864145" w:rsidP="00580697">
      <w:pPr>
        <w:pStyle w:val="FootnoteText"/>
        <w:bidi/>
        <w:spacing w:line="360" w:lineRule="auto"/>
        <w:jc w:val="both"/>
        <w:rPr>
          <w:rFonts w:ascii="David" w:hAnsi="David" w:cs="David"/>
        </w:rPr>
      </w:pPr>
      <w:r w:rsidRPr="00286CB8">
        <w:rPr>
          <w:rStyle w:val="FootnoteReference"/>
          <w:rFonts w:ascii="David" w:hAnsi="David" w:cs="David"/>
        </w:rPr>
        <w:footnoteRef/>
      </w:r>
      <w:r w:rsidRPr="00286CB8">
        <w:rPr>
          <w:rFonts w:ascii="David" w:hAnsi="David" w:cs="David"/>
        </w:rPr>
        <w:t xml:space="preserve"> </w:t>
      </w:r>
      <w:r w:rsidR="00286CB8">
        <w:rPr>
          <w:rFonts w:ascii="David" w:hAnsi="David" w:cs="David" w:hint="cs"/>
          <w:rtl/>
        </w:rPr>
        <w:t xml:space="preserve"> </w:t>
      </w:r>
      <w:r w:rsidR="00286CB8" w:rsidRPr="00C4071E">
        <w:rPr>
          <w:rFonts w:ascii="David" w:hAnsi="David" w:cs="David"/>
          <w:rtl/>
        </w:rPr>
        <w:t>ראו</w:t>
      </w:r>
      <w:r w:rsidR="00286CB8" w:rsidRPr="00C4071E">
        <w:rPr>
          <w:rFonts w:ascii="David" w:hAnsi="David" w:cs="David"/>
        </w:rPr>
        <w:t>Martha</w:t>
      </w:r>
      <w:r w:rsidR="00286CB8" w:rsidRPr="00C4071E">
        <w:rPr>
          <w:rFonts w:asciiTheme="majorBidi" w:hAnsiTheme="majorBidi" w:cstheme="majorBidi"/>
        </w:rPr>
        <w:t xml:space="preserve"> C. Nussbaum, </w:t>
      </w:r>
      <w:r w:rsidR="00286CB8" w:rsidRPr="00C4071E">
        <w:rPr>
          <w:rFonts w:asciiTheme="majorBidi" w:hAnsiTheme="majorBidi" w:cstheme="majorBidi"/>
          <w:i/>
          <w:iCs/>
        </w:rPr>
        <w:t>The Fragility of Goodness: Luck and Ethics in Greek Tragedy and Philosophy</w:t>
      </w:r>
      <w:r w:rsidR="00286CB8" w:rsidRPr="00C4071E">
        <w:rPr>
          <w:rFonts w:asciiTheme="majorBidi" w:hAnsiTheme="majorBidi" w:cstheme="majorBidi"/>
        </w:rPr>
        <w:t xml:space="preserve"> (Cambridge: Cambridge University Press 1986), </w:t>
      </w:r>
      <w:r w:rsidR="00C4071E" w:rsidRPr="00C4071E">
        <w:rPr>
          <w:rFonts w:asciiTheme="majorBidi" w:hAnsiTheme="majorBidi" w:cstheme="majorBidi"/>
        </w:rPr>
        <w:t xml:space="preserve">p. </w:t>
      </w:r>
      <w:r w:rsidR="00286CB8" w:rsidRPr="00C4071E">
        <w:rPr>
          <w:rFonts w:asciiTheme="majorBidi" w:hAnsiTheme="majorBidi" w:cstheme="majorBidi"/>
        </w:rPr>
        <w:t>180</w:t>
      </w:r>
    </w:p>
  </w:footnote>
  <w:footnote w:id="3">
    <w:p w14:paraId="42CE3E8F" w14:textId="77777777" w:rsidR="002563EA" w:rsidRPr="002563EA" w:rsidRDefault="002563EA" w:rsidP="00580697">
      <w:pPr>
        <w:pStyle w:val="FootnoteText"/>
        <w:bidi/>
        <w:spacing w:line="360" w:lineRule="auto"/>
        <w:jc w:val="both"/>
        <w:rPr>
          <w:rFonts w:ascii="David" w:hAnsi="David" w:cs="David"/>
          <w:rtl/>
        </w:rPr>
      </w:pPr>
      <w:r w:rsidRPr="002563EA">
        <w:rPr>
          <w:rStyle w:val="FootnoteReference"/>
          <w:rFonts w:ascii="David" w:hAnsi="David" w:cs="David"/>
        </w:rPr>
        <w:footnoteRef/>
      </w:r>
      <w:r w:rsidRPr="002563EA">
        <w:rPr>
          <w:rFonts w:ascii="David" w:hAnsi="David" w:cs="David"/>
        </w:rPr>
        <w:t xml:space="preserve"> </w:t>
      </w:r>
      <w:r w:rsidRPr="002563EA">
        <w:rPr>
          <w:rFonts w:ascii="David" w:hAnsi="David" w:cs="David"/>
          <w:rtl/>
        </w:rPr>
        <w:t xml:space="preserve"> </w:t>
      </w:r>
      <w:r w:rsidRPr="002563EA">
        <w:rPr>
          <w:rFonts w:ascii="David" w:hAnsi="David" w:cs="David"/>
          <w:rtl/>
        </w:rPr>
        <w:t xml:space="preserve">על חריגים כאלו, ראו נחום רקובר, </w:t>
      </w:r>
      <w:r w:rsidRPr="002563EA">
        <w:rPr>
          <w:rFonts w:ascii="David" w:hAnsi="David" w:cs="David"/>
          <w:b/>
          <w:bCs/>
          <w:rtl/>
        </w:rPr>
        <w:t>ההגנה על צנעת הפרט</w:t>
      </w:r>
      <w:r w:rsidRPr="00C4071E">
        <w:rPr>
          <w:rFonts w:ascii="David" w:hAnsi="David" w:cs="David"/>
          <w:rtl/>
        </w:rPr>
        <w:t>,</w:t>
      </w:r>
      <w:r w:rsidRPr="002563EA">
        <w:rPr>
          <w:rFonts w:ascii="David" w:hAnsi="David" w:cs="David"/>
          <w:b/>
          <w:bCs/>
          <w:rtl/>
        </w:rPr>
        <w:t xml:space="preserve"> </w:t>
      </w:r>
      <w:r w:rsidRPr="002563EA">
        <w:rPr>
          <w:rFonts w:ascii="David" w:hAnsi="David" w:cs="David"/>
          <w:rtl/>
        </w:rPr>
        <w:t xml:space="preserve">ספריית המשפט העברי, ירושלים תשס"ו, פרק ו ('סייגים לשמירת סוד ולהגנה על הפרטיות'), עמ' </w:t>
      </w:r>
      <w:r>
        <w:rPr>
          <w:rFonts w:ascii="David" w:hAnsi="David" w:cs="David" w:hint="cs"/>
          <w:rtl/>
        </w:rPr>
        <w:t>153</w:t>
      </w:r>
      <w:r>
        <w:rPr>
          <w:rFonts w:ascii="David" w:hAnsi="David" w:cs="David"/>
          <w:rtl/>
        </w:rPr>
        <w:t>—</w:t>
      </w:r>
      <w:r>
        <w:rPr>
          <w:rFonts w:ascii="David" w:hAnsi="David" w:cs="David" w:hint="cs"/>
          <w:rtl/>
        </w:rPr>
        <w:t>262.</w:t>
      </w:r>
    </w:p>
  </w:footnote>
  <w:footnote w:id="4">
    <w:p w14:paraId="7D42C2EC" w14:textId="77777777" w:rsidR="00E06AC9" w:rsidRPr="00286CB8" w:rsidRDefault="00E06AC9" w:rsidP="00580697">
      <w:pPr>
        <w:pStyle w:val="FootnoteText"/>
        <w:bidi/>
        <w:spacing w:line="360" w:lineRule="auto"/>
        <w:jc w:val="both"/>
        <w:rPr>
          <w:rFonts w:ascii="David" w:hAnsi="David" w:cs="David"/>
          <w:rtl/>
        </w:rPr>
      </w:pPr>
      <w:r w:rsidRPr="00DF6075">
        <w:rPr>
          <w:rStyle w:val="FootnoteReference"/>
          <w:rFonts w:ascii="David" w:hAnsi="David" w:cs="David"/>
        </w:rPr>
        <w:footnoteRef/>
      </w:r>
      <w:r w:rsidRPr="00DF6075">
        <w:rPr>
          <w:rFonts w:ascii="David" w:hAnsi="David" w:cs="David"/>
        </w:rPr>
        <w:t xml:space="preserve"> </w:t>
      </w:r>
      <w:r w:rsidRPr="00DF6075">
        <w:rPr>
          <w:rFonts w:ascii="David" w:hAnsi="David" w:cs="David"/>
          <w:rtl/>
        </w:rPr>
        <w:t xml:space="preserve">בפתיחת ספרו של מאיר שלו, </w:t>
      </w:r>
      <w:r w:rsidRPr="00DF6075">
        <w:rPr>
          <w:rFonts w:ascii="David" w:hAnsi="David" w:cs="David"/>
          <w:b/>
          <w:bCs/>
          <w:rtl/>
        </w:rPr>
        <w:t>גינת בר</w:t>
      </w:r>
      <w:r w:rsidRPr="00DF6075">
        <w:rPr>
          <w:rFonts w:ascii="David" w:hAnsi="David" w:cs="David"/>
          <w:rtl/>
        </w:rPr>
        <w:t>, ישנו תיאור רב חן של הסגת גבול ל</w:t>
      </w:r>
      <w:r w:rsidR="00755F37">
        <w:rPr>
          <w:rFonts w:ascii="David" w:hAnsi="David" w:cs="David" w:hint="cs"/>
          <w:rtl/>
        </w:rPr>
        <w:t>ל</w:t>
      </w:r>
      <w:r w:rsidRPr="00DF6075">
        <w:rPr>
          <w:rFonts w:ascii="David" w:hAnsi="David" w:cs="David"/>
          <w:rtl/>
        </w:rPr>
        <w:t xml:space="preserve">א </w:t>
      </w:r>
      <w:r w:rsidR="00755F37">
        <w:rPr>
          <w:rFonts w:ascii="David" w:hAnsi="David" w:cs="David" w:hint="cs"/>
          <w:rtl/>
        </w:rPr>
        <w:t xml:space="preserve">כוונת </w:t>
      </w:r>
      <w:r w:rsidRPr="00DF6075">
        <w:rPr>
          <w:rFonts w:ascii="David" w:hAnsi="David" w:cs="David"/>
          <w:rtl/>
        </w:rPr>
        <w:t>זדו</w:t>
      </w:r>
      <w:r w:rsidR="00755F37">
        <w:rPr>
          <w:rFonts w:ascii="David" w:hAnsi="David" w:cs="David" w:hint="cs"/>
          <w:rtl/>
        </w:rPr>
        <w:t>ן,</w:t>
      </w:r>
      <w:r w:rsidRPr="00DF6075">
        <w:rPr>
          <w:rFonts w:ascii="David" w:hAnsi="David" w:cs="David"/>
          <w:rtl/>
        </w:rPr>
        <w:t xml:space="preserve"> </w:t>
      </w:r>
      <w:r w:rsidR="002563EA">
        <w:rPr>
          <w:rFonts w:ascii="David" w:hAnsi="David" w:cs="David" w:hint="cs"/>
          <w:rtl/>
        </w:rPr>
        <w:t>בידי</w:t>
      </w:r>
      <w:r w:rsidRPr="00DF6075">
        <w:rPr>
          <w:rFonts w:ascii="David" w:hAnsi="David" w:cs="David"/>
          <w:rtl/>
        </w:rPr>
        <w:t xml:space="preserve"> חתן וכלה שנכנסו לגינתו </w:t>
      </w:r>
      <w:r w:rsidR="002563EA">
        <w:rPr>
          <w:rFonts w:ascii="David" w:hAnsi="David" w:cs="David" w:hint="cs"/>
          <w:rtl/>
        </w:rPr>
        <w:t>הפרטית</w:t>
      </w:r>
      <w:r w:rsidRPr="00DF6075">
        <w:rPr>
          <w:rFonts w:ascii="David" w:hAnsi="David" w:cs="David"/>
          <w:rtl/>
        </w:rPr>
        <w:t>.</w:t>
      </w:r>
    </w:p>
  </w:footnote>
  <w:footnote w:id="5">
    <w:p w14:paraId="053CC2D0" w14:textId="77777777" w:rsidR="00286CB8" w:rsidRPr="00286CB8" w:rsidRDefault="00286CB8" w:rsidP="00580697">
      <w:pPr>
        <w:bidi/>
        <w:spacing w:after="0" w:line="360" w:lineRule="auto"/>
        <w:jc w:val="both"/>
        <w:rPr>
          <w:rFonts w:ascii="David" w:hAnsi="David" w:cs="David"/>
          <w:sz w:val="20"/>
          <w:szCs w:val="20"/>
          <w:rtl/>
        </w:rPr>
      </w:pPr>
      <w:r w:rsidRPr="00286CB8">
        <w:rPr>
          <w:rStyle w:val="FootnoteReference"/>
          <w:sz w:val="20"/>
          <w:szCs w:val="20"/>
        </w:rPr>
        <w:footnoteRef/>
      </w:r>
      <w:r w:rsidRPr="00286CB8">
        <w:rPr>
          <w:sz w:val="20"/>
          <w:szCs w:val="20"/>
        </w:rPr>
        <w:t xml:space="preserve"> </w:t>
      </w:r>
      <w:r w:rsidRPr="00286CB8">
        <w:rPr>
          <w:rFonts w:ascii="David" w:hAnsi="David" w:cs="David" w:hint="cs"/>
          <w:sz w:val="20"/>
          <w:szCs w:val="20"/>
          <w:rtl/>
        </w:rPr>
        <w:t xml:space="preserve">רקובר, </w:t>
      </w:r>
      <w:r w:rsidRPr="00286CB8">
        <w:rPr>
          <w:rFonts w:ascii="David" w:hAnsi="David" w:cs="David" w:hint="cs"/>
          <w:b/>
          <w:bCs/>
          <w:sz w:val="20"/>
          <w:szCs w:val="20"/>
          <w:rtl/>
        </w:rPr>
        <w:t>צנעת הפרט</w:t>
      </w:r>
      <w:r w:rsidRPr="00286CB8">
        <w:rPr>
          <w:rFonts w:ascii="David" w:hAnsi="David" w:cs="David" w:hint="cs"/>
          <w:sz w:val="20"/>
          <w:szCs w:val="20"/>
          <w:rtl/>
        </w:rPr>
        <w:t xml:space="preserve">, עמ' 305. </w:t>
      </w:r>
    </w:p>
  </w:footnote>
  <w:footnote w:id="6">
    <w:p w14:paraId="070A4868" w14:textId="77777777" w:rsidR="00F957A0" w:rsidRDefault="00F957A0" w:rsidP="00580697">
      <w:pPr>
        <w:pStyle w:val="FootnoteText"/>
        <w:bidi/>
        <w:spacing w:line="360" w:lineRule="auto"/>
        <w:jc w:val="both"/>
      </w:pPr>
      <w:r w:rsidRPr="00C4071E">
        <w:rPr>
          <w:rStyle w:val="FootnoteReference"/>
          <w:rFonts w:ascii="David" w:hAnsi="David" w:cs="David"/>
        </w:rPr>
        <w:footnoteRef/>
      </w:r>
      <w:r w:rsidRPr="00C4071E">
        <w:rPr>
          <w:rFonts w:ascii="David" w:hAnsi="David" w:cs="David"/>
          <w:rtl/>
        </w:rPr>
        <w:t xml:space="preserve"> </w:t>
      </w:r>
      <w:r w:rsidRPr="00C4071E">
        <w:rPr>
          <w:rFonts w:ascii="David" w:hAnsi="David" w:cs="David"/>
          <w:rtl/>
        </w:rPr>
        <w:t xml:space="preserve">לדיון </w:t>
      </w:r>
      <w:r w:rsidR="00C4071E" w:rsidRPr="00C4071E">
        <w:rPr>
          <w:rFonts w:ascii="David" w:hAnsi="David" w:cs="David"/>
          <w:rtl/>
        </w:rPr>
        <w:t>בנושא פרטיות המידע בהקשר הרפואי, למשל, ראו</w:t>
      </w:r>
      <w:r w:rsidRPr="00F957A0">
        <w:rPr>
          <w:rFonts w:cs="Arial"/>
          <w:rtl/>
        </w:rPr>
        <w:t xml:space="preserve"> </w:t>
      </w:r>
      <w:r w:rsidRPr="00F957A0">
        <w:rPr>
          <w:rFonts w:asciiTheme="majorBidi" w:hAnsiTheme="majorBidi" w:cstheme="majorBidi"/>
        </w:rPr>
        <w:t xml:space="preserve">Michael </w:t>
      </w:r>
      <w:proofErr w:type="spellStart"/>
      <w:r w:rsidRPr="00F957A0">
        <w:rPr>
          <w:rFonts w:asciiTheme="majorBidi" w:hAnsiTheme="majorBidi" w:cstheme="majorBidi"/>
        </w:rPr>
        <w:t>Birnhack</w:t>
      </w:r>
      <w:proofErr w:type="spellEnd"/>
      <w:r w:rsidRPr="00F957A0">
        <w:rPr>
          <w:rFonts w:asciiTheme="majorBidi" w:hAnsiTheme="majorBidi" w:cstheme="majorBidi"/>
        </w:rPr>
        <w:t xml:space="preserve">, “A Process-Based Approach to Informational Privacy and the Case of Big Medical Data”, </w:t>
      </w:r>
      <w:r w:rsidRPr="00F957A0">
        <w:rPr>
          <w:rFonts w:asciiTheme="majorBidi" w:hAnsiTheme="majorBidi" w:cstheme="majorBidi"/>
          <w:i/>
          <w:iCs/>
        </w:rPr>
        <w:t>Theoretical Inquiries in Law</w:t>
      </w:r>
      <w:r w:rsidRPr="00F957A0">
        <w:rPr>
          <w:rFonts w:asciiTheme="majorBidi" w:hAnsiTheme="majorBidi" w:cstheme="majorBidi"/>
        </w:rPr>
        <w:t xml:space="preserve"> 20, no. 1 (2019), pp. 257-290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B30"/>
    <w:rsid w:val="00082FF3"/>
    <w:rsid w:val="001140A3"/>
    <w:rsid w:val="002149CC"/>
    <w:rsid w:val="002563EA"/>
    <w:rsid w:val="00286CB8"/>
    <w:rsid w:val="002A4355"/>
    <w:rsid w:val="002A670C"/>
    <w:rsid w:val="002B3B3F"/>
    <w:rsid w:val="00377373"/>
    <w:rsid w:val="003C0C07"/>
    <w:rsid w:val="003C7B30"/>
    <w:rsid w:val="004C0929"/>
    <w:rsid w:val="00580697"/>
    <w:rsid w:val="005B255A"/>
    <w:rsid w:val="005F4462"/>
    <w:rsid w:val="00662EDF"/>
    <w:rsid w:val="007515AB"/>
    <w:rsid w:val="00755F37"/>
    <w:rsid w:val="00864145"/>
    <w:rsid w:val="009369F3"/>
    <w:rsid w:val="009D72A7"/>
    <w:rsid w:val="009F3C4F"/>
    <w:rsid w:val="00BF01C0"/>
    <w:rsid w:val="00C4071E"/>
    <w:rsid w:val="00CE4761"/>
    <w:rsid w:val="00CF28C7"/>
    <w:rsid w:val="00DF6075"/>
    <w:rsid w:val="00E06AC9"/>
    <w:rsid w:val="00E12DC2"/>
    <w:rsid w:val="00EB2586"/>
    <w:rsid w:val="00F168E7"/>
    <w:rsid w:val="00F957A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13BC9"/>
  <w15:chartTrackingRefBased/>
  <w15:docId w15:val="{DC2BE37D-8BB3-459F-AFE6-3E681815D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06AC9"/>
    <w:pPr>
      <w:spacing w:after="0" w:line="240" w:lineRule="auto"/>
    </w:pPr>
    <w:rPr>
      <w:sz w:val="20"/>
      <w:szCs w:val="20"/>
    </w:rPr>
  </w:style>
  <w:style w:type="character" w:customStyle="1" w:styleId="FootnoteTextChar">
    <w:name w:val="Footnote Text Char"/>
    <w:basedOn w:val="DefaultParagraphFont"/>
    <w:link w:val="FootnoteText"/>
    <w:uiPriority w:val="99"/>
    <w:rsid w:val="00E06AC9"/>
    <w:rPr>
      <w:sz w:val="20"/>
      <w:szCs w:val="20"/>
    </w:rPr>
  </w:style>
  <w:style w:type="character" w:styleId="FootnoteReference">
    <w:name w:val="footnote reference"/>
    <w:basedOn w:val="DefaultParagraphFont"/>
    <w:uiPriority w:val="99"/>
    <w:semiHidden/>
    <w:unhideWhenUsed/>
    <w:rsid w:val="00E06AC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4514683">
      <w:bodyDiv w:val="1"/>
      <w:marLeft w:val="0"/>
      <w:marRight w:val="0"/>
      <w:marTop w:val="0"/>
      <w:marBottom w:val="0"/>
      <w:divBdr>
        <w:top w:val="none" w:sz="0" w:space="0" w:color="auto"/>
        <w:left w:val="none" w:sz="0" w:space="0" w:color="auto"/>
        <w:bottom w:val="none" w:sz="0" w:space="0" w:color="auto"/>
        <w:right w:val="none" w:sz="0" w:space="0" w:color="auto"/>
      </w:divBdr>
    </w:div>
    <w:div w:id="1754546121">
      <w:bodyDiv w:val="1"/>
      <w:marLeft w:val="0"/>
      <w:marRight w:val="0"/>
      <w:marTop w:val="100"/>
      <w:marBottom w:val="100"/>
      <w:divBdr>
        <w:top w:val="none" w:sz="0" w:space="0" w:color="auto"/>
        <w:left w:val="none" w:sz="0" w:space="0" w:color="auto"/>
        <w:bottom w:val="none" w:sz="0" w:space="0" w:color="auto"/>
        <w:right w:val="none" w:sz="0" w:space="0" w:color="auto"/>
      </w:divBdr>
      <w:divsChild>
        <w:div w:id="128282182">
          <w:marLeft w:val="0"/>
          <w:marRight w:val="0"/>
          <w:marTop w:val="0"/>
          <w:marBottom w:val="0"/>
          <w:divBdr>
            <w:top w:val="none" w:sz="0" w:space="0" w:color="auto"/>
            <w:left w:val="none" w:sz="0" w:space="0" w:color="auto"/>
            <w:bottom w:val="none" w:sz="0" w:space="0" w:color="auto"/>
            <w:right w:val="none" w:sz="0" w:space="0" w:color="auto"/>
          </w:divBdr>
        </w:div>
        <w:div w:id="514854119">
          <w:marLeft w:val="0"/>
          <w:marRight w:val="0"/>
          <w:marTop w:val="0"/>
          <w:marBottom w:val="0"/>
          <w:divBdr>
            <w:top w:val="none" w:sz="0" w:space="0" w:color="auto"/>
            <w:left w:val="none" w:sz="0" w:space="0" w:color="auto"/>
            <w:bottom w:val="none" w:sz="0" w:space="0" w:color="auto"/>
            <w:right w:val="none" w:sz="0" w:space="0" w:color="auto"/>
          </w:divBdr>
        </w:div>
        <w:div w:id="996465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EF7EA-0F7E-4B72-8DBB-91A62D09C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3</Pages>
  <Words>814</Words>
  <Characters>4641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Nadav Berman Shifman</dc:creator>
  <cp:keywords/>
  <dc:description/>
  <cp:lastModifiedBy>Nadav Berman Shifman</cp:lastModifiedBy>
  <cp:revision>8</cp:revision>
  <dcterms:created xsi:type="dcterms:W3CDTF">2019-06-11T03:52:00Z</dcterms:created>
  <dcterms:modified xsi:type="dcterms:W3CDTF">2019-07-11T20:22:00Z</dcterms:modified>
</cp:coreProperties>
</file>